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BEC" w14:textId="4CA3C5B7" w:rsidR="00CF717A" w:rsidRPr="0039784F" w:rsidRDefault="007758D4" w:rsidP="00CF717A">
      <w:pPr>
        <w:rPr>
          <w:b/>
          <w:bCs/>
        </w:rPr>
      </w:pPr>
      <w:r>
        <w:rPr>
          <w:b/>
          <w:bCs/>
        </w:rPr>
        <w:t>Bilaga. Pågående uppdrag</w:t>
      </w:r>
    </w:p>
    <w:tbl>
      <w:tblPr>
        <w:tblStyle w:val="Tabellrutnt"/>
        <w:tblW w:w="9965" w:type="dxa"/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2B30BA" w14:paraId="71E1304D" w14:textId="77777777" w:rsidTr="0002111F">
        <w:tc>
          <w:tcPr>
            <w:tcW w:w="3322" w:type="dxa"/>
          </w:tcPr>
          <w:p w14:paraId="0702A40E" w14:textId="2F87A82F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Sammanfattning av uppdraget</w:t>
            </w:r>
          </w:p>
        </w:tc>
        <w:tc>
          <w:tcPr>
            <w:tcW w:w="3041" w:type="dxa"/>
          </w:tcPr>
          <w:p w14:paraId="0B5C53FA" w14:textId="77DA140B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Beslut om uppdraget</w:t>
            </w:r>
          </w:p>
        </w:tc>
        <w:tc>
          <w:tcPr>
            <w:tcW w:w="3602" w:type="dxa"/>
          </w:tcPr>
          <w:p w14:paraId="700E5BB5" w14:textId="6758FFA3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Rapporteringstidpunkt</w:t>
            </w:r>
          </w:p>
        </w:tc>
      </w:tr>
      <w:tr w:rsidR="003025DD" w14:paraId="6622C4FC" w14:textId="77777777" w:rsidTr="0002111F">
        <w:tc>
          <w:tcPr>
            <w:tcW w:w="3322" w:type="dxa"/>
          </w:tcPr>
          <w:p w14:paraId="7EC2DF98" w14:textId="0E29C8E1" w:rsidR="003025DD" w:rsidRDefault="003025DD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och främja sexuell och reproduktiv hälsa och rättigheter</w:t>
            </w:r>
          </w:p>
        </w:tc>
        <w:tc>
          <w:tcPr>
            <w:tcW w:w="3041" w:type="dxa"/>
          </w:tcPr>
          <w:p w14:paraId="1508B3CC" w14:textId="224C1493" w:rsidR="003025DD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A2024/01236</w:t>
            </w:r>
          </w:p>
        </w:tc>
        <w:tc>
          <w:tcPr>
            <w:tcW w:w="3602" w:type="dxa"/>
          </w:tcPr>
          <w:p w14:paraId="09E660F8" w14:textId="03DEE61B" w:rsidR="003025DD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044BA">
              <w:t>Folkhälsomyndigheten ska senast den 12 september 2025 lämna en muntlig delredovisning av uppdraget samt en skriftlig delredovisning senast den 31 mars 2026 och den 31 mars 2027 till Regeringskansliet (Arbetsmarknadsdepartementet</w:t>
            </w:r>
            <w:r w:rsidRPr="000044BA" w:rsidDel="00A33B71">
              <w:t xml:space="preserve"> </w:t>
            </w:r>
            <w:r w:rsidRPr="000044BA">
              <w:t>med kopia till Socialdepartementet). Senast den 31 mars 2028 ska myndigheten lämna en slutredovisning av uppdraget till Regeringskansliet (Arbetsmarknadsdepartementet med kopia till Socialdepartementet).</w:t>
            </w:r>
          </w:p>
        </w:tc>
      </w:tr>
      <w:tr w:rsidR="00EF346C" w14:paraId="2E6CA5B7" w14:textId="77777777" w:rsidTr="0002111F">
        <w:tc>
          <w:tcPr>
            <w:tcW w:w="3322" w:type="dxa"/>
          </w:tcPr>
          <w:p w14:paraId="1F147677" w14:textId="388DC8DD" w:rsidR="00EF346C" w:rsidRDefault="001C5286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vidta åtgärder för att förbereda för ett reformerat mottagningssystem</w:t>
            </w:r>
          </w:p>
        </w:tc>
        <w:tc>
          <w:tcPr>
            <w:tcW w:w="3041" w:type="dxa"/>
          </w:tcPr>
          <w:p w14:paraId="6F117756" w14:textId="73713CF7" w:rsidR="00EF346C" w:rsidRDefault="001C5286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Ju2024/00608</w:t>
            </w:r>
          </w:p>
        </w:tc>
        <w:tc>
          <w:tcPr>
            <w:tcW w:w="3602" w:type="dxa"/>
          </w:tcPr>
          <w:p w14:paraId="0C1C22B8" w14:textId="006AEE54" w:rsidR="00EF346C" w:rsidRDefault="001C5286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Uppdraget redovisas senast 31 januari 2025</w:t>
            </w:r>
          </w:p>
        </w:tc>
      </w:tr>
      <w:tr w:rsidR="00EF346C" w14:paraId="1EFB58D9" w14:textId="77777777" w:rsidTr="0002111F">
        <w:tc>
          <w:tcPr>
            <w:tcW w:w="3322" w:type="dxa"/>
          </w:tcPr>
          <w:p w14:paraId="5F6DB6E5" w14:textId="502D8456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EF346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3041" w:type="dxa"/>
          </w:tcPr>
          <w:p w14:paraId="0F0E6AD4" w14:textId="6ED308D4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KN2024/00521</w:t>
            </w:r>
          </w:p>
        </w:tc>
        <w:tc>
          <w:tcPr>
            <w:tcW w:w="3602" w:type="dxa"/>
          </w:tcPr>
          <w:p w14:paraId="3724EF41" w14:textId="761C6BCD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Tillväxtverket ska senast 31 januari 2025 och 31 mars 2026 lämna delredovisningar till Regeringskansliet. Slutrapport, inklusive en ekonomisk redovisning,</w:t>
            </w:r>
            <w:r w:rsidR="00E42FE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Regeringskansliet senast den 31 mars 2027.</w:t>
            </w:r>
            <w:r w:rsidR="008A7D70" w:rsidRPr="008A7D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Redovisningarna ska tas fram tillsammans med övriga myndigheter som omfattas av uppdraget.</w:t>
            </w:r>
          </w:p>
        </w:tc>
      </w:tr>
      <w:tr w:rsidR="002B30BA" w14:paraId="1CD23F92" w14:textId="77777777" w:rsidTr="0002111F">
        <w:tc>
          <w:tcPr>
            <w:tcW w:w="3322" w:type="dxa"/>
          </w:tcPr>
          <w:p w14:paraId="788B1595" w14:textId="6736ACF6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Anvisningar för det civila försvaret för försvarsbeslutsperioden 2021–2025</w:t>
            </w:r>
          </w:p>
        </w:tc>
        <w:tc>
          <w:tcPr>
            <w:tcW w:w="3041" w:type="dxa"/>
          </w:tcPr>
          <w:p w14:paraId="0AC7E633" w14:textId="73070DD8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Ju2020/04658</w:t>
            </w:r>
          </w:p>
        </w:tc>
        <w:tc>
          <w:tcPr>
            <w:tcW w:w="3602" w:type="dxa"/>
          </w:tcPr>
          <w:p w14:paraId="31D6E9C0" w14:textId="3B233C82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och med 2025 ska arbetet årligen redovisas till respektive ansvarigt departement senast den 1 oktober, och till MSB.</w:t>
            </w:r>
          </w:p>
        </w:tc>
      </w:tr>
      <w:tr w:rsidR="002B30BA" w14:paraId="6152DF09" w14:textId="77777777" w:rsidTr="0002111F">
        <w:tc>
          <w:tcPr>
            <w:tcW w:w="3322" w:type="dxa"/>
          </w:tcPr>
          <w:p w14:paraId="07EB1AFC" w14:textId="77777777" w:rsidR="002B30BA" w:rsidRDefault="005D4247" w:rsidP="00CF717A">
            <w:pPr>
              <w:rPr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 avseende obligatorisk samhällsintroduktion</w:t>
            </w:r>
          </w:p>
          <w:p w14:paraId="0BDEB155" w14:textId="2A0B2083" w:rsidR="00107D90" w:rsidRPr="00107D90" w:rsidRDefault="00107D90" w:rsidP="00107D90"/>
        </w:tc>
        <w:tc>
          <w:tcPr>
            <w:tcW w:w="3041" w:type="dxa"/>
          </w:tcPr>
          <w:p w14:paraId="361F2181" w14:textId="77777777" w:rsidR="005D4247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Ju2020/00700</w:t>
            </w:r>
          </w:p>
          <w:p w14:paraId="7945B602" w14:textId="27B957FD" w:rsidR="002B30BA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Regleringsbrev 2021</w:t>
            </w:r>
          </w:p>
        </w:tc>
        <w:tc>
          <w:tcPr>
            <w:tcW w:w="3602" w:type="dxa"/>
          </w:tcPr>
          <w:p w14:paraId="02646A69" w14:textId="2EF12407" w:rsidR="002B30BA" w:rsidRDefault="005D424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tillhandahålla obligatorisk samhällsintroduktion.</w:t>
            </w:r>
          </w:p>
        </w:tc>
      </w:tr>
      <w:tr w:rsidR="002B30BA" w14:paraId="217090A2" w14:textId="77777777" w:rsidTr="0002111F">
        <w:tc>
          <w:tcPr>
            <w:tcW w:w="3322" w:type="dxa"/>
          </w:tcPr>
          <w:p w14:paraId="63F58BE8" w14:textId="395B2949" w:rsidR="002B30BA" w:rsidRDefault="00D60CBB" w:rsidP="00D60CBB">
            <w:r w:rsidRP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Strategi för systematisk uppföljning av funktionshinderspolitiken under 2021–2031</w:t>
            </w:r>
          </w:p>
        </w:tc>
        <w:tc>
          <w:tcPr>
            <w:tcW w:w="3041" w:type="dxa"/>
          </w:tcPr>
          <w:p w14:paraId="5E053373" w14:textId="6EA642FC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S2021/06595</w:t>
            </w:r>
          </w:p>
        </w:tc>
        <w:tc>
          <w:tcPr>
            <w:tcW w:w="3602" w:type="dxa"/>
          </w:tcPr>
          <w:p w14:paraId="08939966" w14:textId="6C86459D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Resultatet av uppföljningen ska årligen lämnas till Regeringskansliet i årsredovisningen till och med 2031.</w:t>
            </w:r>
          </w:p>
        </w:tc>
      </w:tr>
      <w:tr w:rsidR="0039784F" w14:paraId="2DB6FCFB" w14:textId="77777777" w:rsidTr="0002111F">
        <w:tc>
          <w:tcPr>
            <w:tcW w:w="3322" w:type="dxa"/>
          </w:tcPr>
          <w:p w14:paraId="713C83F0" w14:textId="7CDF6F7C" w:rsidR="0039784F" w:rsidRPr="003F57F7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förordningen om en gemensam digital ingång</w:t>
            </w:r>
          </w:p>
        </w:tc>
        <w:tc>
          <w:tcPr>
            <w:tcW w:w="3041" w:type="dxa"/>
          </w:tcPr>
          <w:p w14:paraId="399E8BD8" w14:textId="4C8E7231" w:rsidR="0039784F" w:rsidRPr="00C811C3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I2021/02831</w:t>
            </w:r>
          </w:p>
        </w:tc>
        <w:tc>
          <w:tcPr>
            <w:tcW w:w="3602" w:type="dxa"/>
          </w:tcPr>
          <w:p w14:paraId="1267A87A" w14:textId="4E9FDC78" w:rsidR="0039784F" w:rsidRPr="00C811C3" w:rsidRDefault="0039784F" w:rsidP="00C811C3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EU-förordningen om gemensam digital ingång.</w:t>
            </w:r>
          </w:p>
        </w:tc>
      </w:tr>
      <w:tr w:rsidR="009351EA" w14:paraId="5ABD7730" w14:textId="77777777" w:rsidTr="0002111F">
        <w:tc>
          <w:tcPr>
            <w:tcW w:w="3322" w:type="dxa"/>
          </w:tcPr>
          <w:p w14:paraId="79BA7981" w14:textId="322180CA" w:rsidR="009351EA" w:rsidRPr="0039784F" w:rsidRDefault="009351EA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avseende</w:t>
            </w:r>
            <w:r w:rsidRPr="00892BB4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obligatorisk samhällsintroduktion</w:t>
            </w:r>
          </w:p>
        </w:tc>
        <w:tc>
          <w:tcPr>
            <w:tcW w:w="3041" w:type="dxa"/>
          </w:tcPr>
          <w:p w14:paraId="2147FC63" w14:textId="77777777" w:rsidR="009351EA" w:rsidRDefault="009351EA" w:rsidP="009351EA">
            <w:pPr>
              <w:pStyle w:val="Normalwebb"/>
              <w:shd w:val="clear" w:color="auto" w:fill="FFFFFF"/>
              <w:spacing w:before="0" w:beforeAutospacing="0" w:after="20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2BB4">
              <w:rPr>
                <w:rFonts w:ascii="Verdana" w:hAnsi="Verdana"/>
                <w:color w:val="000000"/>
                <w:sz w:val="20"/>
                <w:szCs w:val="20"/>
              </w:rPr>
              <w:t xml:space="preserve">Ju2022/01295 </w:t>
            </w:r>
          </w:p>
          <w:p w14:paraId="01D44E1E" w14:textId="61AA2B51" w:rsidR="009351EA" w:rsidRPr="0039784F" w:rsidRDefault="009351EA" w:rsidP="009351E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Regleringsbrev 2022</w:t>
            </w:r>
          </w:p>
        </w:tc>
        <w:tc>
          <w:tcPr>
            <w:tcW w:w="3602" w:type="dxa"/>
          </w:tcPr>
          <w:p w14:paraId="48C578F0" w14:textId="66D8A4C0" w:rsidR="009351EA" w:rsidRDefault="009351EA" w:rsidP="00C811C3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351E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att tillhandahålla obligatorisk samhällsintroduktion till personer som har beviljats </w:t>
            </w:r>
            <w:r w:rsidRPr="009351E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uppehållstillstånd med tillfälligt skydd i Sverige.</w:t>
            </w:r>
          </w:p>
        </w:tc>
      </w:tr>
      <w:tr w:rsidR="001F2D79" w14:paraId="792A8627" w14:textId="77777777" w:rsidTr="0002111F">
        <w:tc>
          <w:tcPr>
            <w:tcW w:w="3322" w:type="dxa"/>
          </w:tcPr>
          <w:p w14:paraId="060762F1" w14:textId="6F9990A1" w:rsidR="001F2D79" w:rsidRPr="003F57F7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Uppdrag att i samverkan ta fram 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yndighetsgemensam plan för att öka utrikes födda kvinnors inträde på arbetsmarknaden</w:t>
            </w:r>
          </w:p>
        </w:tc>
        <w:tc>
          <w:tcPr>
            <w:tcW w:w="3041" w:type="dxa"/>
          </w:tcPr>
          <w:p w14:paraId="646B74C4" w14:textId="3CC86C9D" w:rsidR="001F2D79" w:rsidRPr="00C811C3" w:rsidRDefault="004468C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A2023/00923</w:t>
            </w:r>
          </w:p>
        </w:tc>
        <w:tc>
          <w:tcPr>
            <w:tcW w:w="3602" w:type="dxa"/>
          </w:tcPr>
          <w:p w14:paraId="096B6C68" w14:textId="32C0B87F" w:rsidR="001F2D79" w:rsidRPr="00C811C3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Migrationsverket ska i samverkan med andra myndigheter 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implementera den</w:t>
            </w:r>
            <w:r w:rsidR="0002111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myndighetsgemensam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ma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för att öka utrikes födda kvinnors inträde på arbetsmarknaden. Arbetet ska samordnas av Arbetsförmedlingen som ska </w:t>
            </w:r>
            <w:r w:rsidR="00885D4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slutredovisa uppdraget senast 31 mars 2026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Regeringskansliet (Arbetsmarknadsdepartementet)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et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Särskilda jämställdhetsåtgärder under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13.</w:t>
            </w:r>
          </w:p>
        </w:tc>
      </w:tr>
      <w:tr w:rsidR="00750D9D" w14:paraId="38524042" w14:textId="77777777" w:rsidTr="0002111F">
        <w:tc>
          <w:tcPr>
            <w:tcW w:w="3322" w:type="dxa"/>
          </w:tcPr>
          <w:p w14:paraId="2EE232F8" w14:textId="22384E2B" w:rsidR="00750D9D" w:rsidRPr="00566A92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ökad upptäckt av våld m.m. 2022–2024</w:t>
            </w:r>
          </w:p>
        </w:tc>
        <w:tc>
          <w:tcPr>
            <w:tcW w:w="3041" w:type="dxa"/>
          </w:tcPr>
          <w:p w14:paraId="36CA2744" w14:textId="2949C6AE" w:rsidR="00750D9D" w:rsidRPr="006F1139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A2022/00842</w:t>
            </w:r>
          </w:p>
        </w:tc>
        <w:tc>
          <w:tcPr>
            <w:tcW w:w="3602" w:type="dxa"/>
          </w:tcPr>
          <w:p w14:paraId="7AFD7FF6" w14:textId="1A49FE03" w:rsidR="00750D9D" w:rsidRPr="00750D9D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Jämställdhetsmyndigheten ska slutredovisa uppdraget till </w:t>
            </w:r>
          </w:p>
          <w:p w14:paraId="04512703" w14:textId="6FA4C18F" w:rsidR="00750D9D" w:rsidRPr="00566A92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Regeringskansliet (Arbetsmarknadsdepartementet) senast den 31 mars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66A92" w14:paraId="1B4F6EFB" w14:textId="77777777" w:rsidTr="0002111F">
        <w:tc>
          <w:tcPr>
            <w:tcW w:w="3322" w:type="dxa"/>
          </w:tcPr>
          <w:p w14:paraId="4BB2D04F" w14:textId="50A7A2ED" w:rsidR="00566A92" w:rsidRPr="003F57F7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</w:t>
            </w:r>
            <w:r w:rsidR="00F8762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Migrationsverket, Polismyndigheten och Kriminalvården 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att effektivisera återvändandeverksamheten</w:t>
            </w:r>
          </w:p>
        </w:tc>
        <w:tc>
          <w:tcPr>
            <w:tcW w:w="3041" w:type="dxa"/>
          </w:tcPr>
          <w:p w14:paraId="25EE48EF" w14:textId="112599AD" w:rsidR="00566A92" w:rsidRPr="00C811C3" w:rsidRDefault="006F113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F113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Ju2022/02227</w:t>
            </w:r>
          </w:p>
        </w:tc>
        <w:tc>
          <w:tcPr>
            <w:tcW w:w="3602" w:type="dxa"/>
          </w:tcPr>
          <w:p w14:paraId="4170B152" w14:textId="3EDF997D" w:rsidR="00566A92" w:rsidRPr="00C811C3" w:rsidRDefault="00A43574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B54637">
              <w:rPr>
                <w:rFonts w:ascii="Verdana" w:hAnsi="Verdana"/>
                <w:sz w:val="20"/>
                <w:szCs w:val="20"/>
                <w:u w:val="single"/>
              </w:rPr>
              <w:t>En gemensam redovisning av återvändandeverksamhetens resultat ska årligen lämnas in av Migrationsverket genom en separat rapportering i samband med inlämnade av årsredovisningen.</w:t>
            </w:r>
            <w:r w:rsidRPr="00B54637">
              <w:rPr>
                <w:u w:val="single"/>
              </w:rPr>
              <w:t xml:space="preserve"> </w:t>
            </w:r>
            <w:r w:rsidR="00566A92" w:rsidRPr="00A43574">
              <w:rPr>
                <w:rFonts w:ascii="Verdana" w:hAnsi="Verdana"/>
                <w:strike/>
                <w:color w:val="000000"/>
                <w:sz w:val="20"/>
                <w:szCs w:val="20"/>
                <w:shd w:val="clear" w:color="auto" w:fill="FFFFFF"/>
              </w:rPr>
              <w:t>Migrationsverket och Polismyndigheten ska öka antalet verkställigheter av avvisnings- och utvisningsbeslut med 50 procent under 2023 jämfört med år 2021 (redovisas i årsredovisningarna för 2023).</w:t>
            </w:r>
            <w:r w:rsid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F2D79" w14:paraId="049FA15D" w14:textId="77777777" w:rsidTr="0002111F">
        <w:tc>
          <w:tcPr>
            <w:tcW w:w="3322" w:type="dxa"/>
          </w:tcPr>
          <w:p w14:paraId="49C87AEE" w14:textId="0E3B90AA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9546149"/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medicinska evakueringar med anledning av situationen i Ukraina</w:t>
            </w:r>
            <w:bookmarkEnd w:id="0"/>
          </w:p>
        </w:tc>
        <w:tc>
          <w:tcPr>
            <w:tcW w:w="3041" w:type="dxa"/>
          </w:tcPr>
          <w:p w14:paraId="2B20D2DB" w14:textId="3AFA7D88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Ju2022/02509</w:t>
            </w:r>
          </w:p>
        </w:tc>
        <w:tc>
          <w:tcPr>
            <w:tcW w:w="3602" w:type="dxa"/>
          </w:tcPr>
          <w:p w14:paraId="0771B3AE" w14:textId="1D8FCA4A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till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Myndigheten för samhällsskydd- och beredskap (MSB), Socialstyrelsen och Migrationsverket att arbeta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med </w:t>
            </w:r>
          </w:p>
          <w:p w14:paraId="0BA1A5BF" w14:textId="0E3E5D0C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medicinska evakueringar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MSB ska löpande informera Regeringskansliet (Justitiedepartementet) om berörda aktörers bedömning av hur många patienter det finns kapacitet för, antalet faktiska evakueringar och hur arbetet </w:t>
            </w:r>
          </w:p>
          <w:p w14:paraId="2545DF98" w14:textId="53604D14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fortlöper.</w:t>
            </w:r>
          </w:p>
        </w:tc>
      </w:tr>
      <w:tr w:rsidR="00C0122A" w14:paraId="105B42CF" w14:textId="77777777" w:rsidTr="0002111F">
        <w:tc>
          <w:tcPr>
            <w:tcW w:w="3322" w:type="dxa"/>
          </w:tcPr>
          <w:p w14:paraId="7F1DC8F3" w14:textId="77777777" w:rsidR="00C0122A" w:rsidRPr="00C0122A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att stärka arbetet med att motverka att</w:t>
            </w:r>
          </w:p>
          <w:p w14:paraId="2B78195F" w14:textId="34B31601" w:rsidR="00C0122A" w:rsidRPr="00355AB1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ensamkommande barn försvinner</w:t>
            </w:r>
          </w:p>
        </w:tc>
        <w:tc>
          <w:tcPr>
            <w:tcW w:w="3041" w:type="dxa"/>
          </w:tcPr>
          <w:p w14:paraId="39721120" w14:textId="604CABA5" w:rsidR="00C0122A" w:rsidRPr="00355AB1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S2022/03300</w:t>
            </w:r>
          </w:p>
        </w:tc>
        <w:tc>
          <w:tcPr>
            <w:tcW w:w="3602" w:type="dxa"/>
          </w:tcPr>
          <w:p w14:paraId="6807DAA1" w14:textId="701DC478" w:rsidR="00C0122A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Socialstyrelsen ska senast den 2 oktober 2023 och den 16 september 2024 lämna en skriftlig delredovisning av uppdraget till Regeringskansliet (Socialdepartementet). En slutredovisning av uppdraget ska lämnas till Regeringskansliet </w:t>
            </w: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(Socialdepartementet) senast den 15 september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4:7 Bidrag till utveckling av socialt arbete m.m.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7B6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under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9.</w:t>
            </w:r>
          </w:p>
        </w:tc>
      </w:tr>
    </w:tbl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C35FFD" w14:paraId="606B716B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06A2" w14:textId="77777777" w:rsidR="00C35FFD" w:rsidRDefault="00C35FFD" w:rsidP="006C7EB5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Uppdrag att f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ortsätta att utveckla arbetet med jämställdhetsintegrering.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613" w14:textId="77777777" w:rsidR="00C35FFD" w:rsidRDefault="00C35FFD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A2020/02041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1CD9" w14:textId="6869FE6C" w:rsidR="00C35FFD" w:rsidRDefault="00C35FFD" w:rsidP="006C7EB5">
            <w:pPr>
              <w:spacing w:after="0" w:line="240" w:lineRule="auto"/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Migrationsverket ska fortsätta arbetet med jämställdhetsintegrering i syfte att verksamheten ska bidra till att nå de jämställdhetspolitiska målen för åren 2022–2025, i enlighet med Jim-programmet.</w:t>
            </w:r>
            <w:r>
              <w:t> </w:t>
            </w:r>
          </w:p>
        </w:tc>
      </w:tr>
      <w:tr w:rsidR="003E61FC" w14:paraId="394A1D31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4898" w14:textId="44041C7A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Förlängd tid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73B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för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och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ändring av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uppdraget att inrätta regionala center mot arbetslivskriminalitet och om varaktig myndighetssamverkan.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D665" w14:textId="6A5115AC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/0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109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F19" w14:textId="1049FF9C" w:rsidR="003E61FC" w:rsidRDefault="00345279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Uppdraget ska, i stället för vad som anges i tidigare beslut (A2022/00333 och A2023/01693), årligen och senast den 31 mars 2025–2027 redovisas av Arbetsmiljöverket. Redovisningen ska tas fram tillsammans med övriga myndigheter som omfattas av uppdraget.</w:t>
            </w:r>
          </w:p>
        </w:tc>
      </w:tr>
      <w:tr w:rsidR="00061431" w14:paraId="1CE637B7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713" w14:textId="2EF214A3" w:rsidR="00061431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sammanställa och sprida information om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ekonomiska aspekter av våld i nära relationer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A519" w14:textId="6EDB4325" w:rsidR="00061431" w:rsidRPr="006C7EB5" w:rsidRDefault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A2024/00777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7577" w14:textId="109D2BA2" w:rsidR="00061431" w:rsidRPr="006C7EB5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Jämställdhetsmyndigheten ska lämna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 samlad slutredovisning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senast den 26 februari 2026 till Regeringskansliet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(Arbetsmarknadsdepartementet).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Finansiering framgår av r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egleringsbrev för budgetåret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avseende anslag 3:1 Särskilda jämställdhetsåtgärder inom utgiftsområde 13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90304E" w14:paraId="61641C16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7D14" w14:textId="0E65B9B1" w:rsidR="0090304E" w:rsidRPr="00061431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säkerställa att information från folkbokföringen och information om samordningsnummer används ändamålsenligt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2C7" w14:textId="2DF9B76D" w:rsidR="0090304E" w:rsidRPr="00061431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Fi2024/02213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B650" w14:textId="59F63DDC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Skatteverket ska senast den 13 juni 2025 lämna en gemensam redovisning.</w:t>
            </w:r>
          </w:p>
        </w:tc>
      </w:tr>
      <w:tr w:rsidR="0090304E" w14:paraId="23CA2E4B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54ED" w14:textId="1CA5197B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utveckla det operativa samarbetet för att motverka identitetsmissbruk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02C2" w14:textId="65DA72AA" w:rsidR="0090304E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FI2024/02214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8D4A" w14:textId="60EBCD95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Skatteverket ska senast den 13 juni 2025 lämna en gemensam redovisning.</w:t>
            </w:r>
          </w:p>
        </w:tc>
      </w:tr>
      <w:tr w:rsidR="0090304E" w14:paraId="614C924A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EC75" w14:textId="32B99AC7" w:rsidR="0090304E" w:rsidRPr="00061431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att stärka samarbetet för att upprätthålla och sprida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kompetens om identitetsfrågor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3A3" w14:textId="4CD0F032" w:rsidR="0090304E" w:rsidRPr="00061431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Fi2024/02215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715B" w14:textId="4FAF68ED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Skatteverket ska senast den 31 mars 2025 lämna en gemensam delredovisning och senast den 30 september 2025 ska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Skatteverket lämna en gemensam slutredovisning.</w:t>
            </w:r>
          </w:p>
        </w:tc>
      </w:tr>
    </w:tbl>
    <w:p w14:paraId="12201038" w14:textId="77777777" w:rsidR="002B30BA" w:rsidRPr="00CF717A" w:rsidRDefault="002B30BA" w:rsidP="00CF717A"/>
    <w:sectPr w:rsidR="002B30B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DD6D" w14:textId="77777777" w:rsidR="002B30BA" w:rsidRDefault="002B30BA" w:rsidP="00A87A54">
      <w:pPr>
        <w:spacing w:after="0" w:line="240" w:lineRule="auto"/>
      </w:pPr>
      <w:r>
        <w:separator/>
      </w:r>
    </w:p>
  </w:endnote>
  <w:endnote w:type="continuationSeparator" w:id="0">
    <w:p w14:paraId="32C8B20D" w14:textId="77777777" w:rsidR="002B30BA" w:rsidRDefault="002B30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DCE" w14:textId="77777777" w:rsidR="002B30BA" w:rsidRDefault="002B30BA" w:rsidP="00A87A54">
      <w:pPr>
        <w:spacing w:after="0" w:line="240" w:lineRule="auto"/>
      </w:pPr>
      <w:r>
        <w:separator/>
      </w:r>
    </w:p>
  </w:footnote>
  <w:footnote w:type="continuationSeparator" w:id="0">
    <w:p w14:paraId="23A76829" w14:textId="77777777" w:rsidR="002B30BA" w:rsidRDefault="002B30BA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31692770">
    <w:abstractNumId w:val="20"/>
  </w:num>
  <w:num w:numId="2" w16cid:durableId="534463972">
    <w:abstractNumId w:val="27"/>
  </w:num>
  <w:num w:numId="3" w16cid:durableId="2054454394">
    <w:abstractNumId w:val="4"/>
  </w:num>
  <w:num w:numId="4" w16cid:durableId="1959487782">
    <w:abstractNumId w:val="1"/>
  </w:num>
  <w:num w:numId="5" w16cid:durableId="38673370">
    <w:abstractNumId w:val="5"/>
  </w:num>
  <w:num w:numId="6" w16cid:durableId="446781726">
    <w:abstractNumId w:val="3"/>
  </w:num>
  <w:num w:numId="7" w16cid:durableId="1967083126">
    <w:abstractNumId w:val="18"/>
  </w:num>
  <w:num w:numId="8" w16cid:durableId="1140225107">
    <w:abstractNumId w:val="16"/>
  </w:num>
  <w:num w:numId="9" w16cid:durableId="578641927">
    <w:abstractNumId w:val="8"/>
  </w:num>
  <w:num w:numId="10" w16cid:durableId="2119256801">
    <w:abstractNumId w:val="13"/>
  </w:num>
  <w:num w:numId="11" w16cid:durableId="1796413136">
    <w:abstractNumId w:val="17"/>
  </w:num>
  <w:num w:numId="12" w16cid:durableId="2069185798">
    <w:abstractNumId w:val="32"/>
  </w:num>
  <w:num w:numId="13" w16cid:durableId="1873106809">
    <w:abstractNumId w:val="25"/>
  </w:num>
  <w:num w:numId="14" w16cid:durableId="1063337254">
    <w:abstractNumId w:val="9"/>
  </w:num>
  <w:num w:numId="15" w16cid:durableId="238447493">
    <w:abstractNumId w:val="7"/>
  </w:num>
  <w:num w:numId="16" w16cid:durableId="1572470908">
    <w:abstractNumId w:val="29"/>
  </w:num>
  <w:num w:numId="17" w16cid:durableId="236287807">
    <w:abstractNumId w:val="26"/>
  </w:num>
  <w:num w:numId="18" w16cid:durableId="1709337950">
    <w:abstractNumId w:val="6"/>
  </w:num>
  <w:num w:numId="19" w16cid:durableId="1985354411">
    <w:abstractNumId w:val="0"/>
  </w:num>
  <w:num w:numId="20" w16cid:durableId="1460227760">
    <w:abstractNumId w:val="2"/>
  </w:num>
  <w:num w:numId="21" w16cid:durableId="111093572">
    <w:abstractNumId w:val="15"/>
  </w:num>
  <w:num w:numId="22" w16cid:durableId="1552420935">
    <w:abstractNumId w:val="10"/>
  </w:num>
  <w:num w:numId="23" w16cid:durableId="718865355">
    <w:abstractNumId w:val="22"/>
  </w:num>
  <w:num w:numId="24" w16cid:durableId="2056267375">
    <w:abstractNumId w:val="23"/>
  </w:num>
  <w:num w:numId="25" w16cid:durableId="198786911">
    <w:abstractNumId w:val="33"/>
  </w:num>
  <w:num w:numId="26" w16cid:durableId="1740010951">
    <w:abstractNumId w:val="19"/>
  </w:num>
  <w:num w:numId="27" w16cid:durableId="984775980">
    <w:abstractNumId w:val="30"/>
  </w:num>
  <w:num w:numId="28" w16cid:durableId="1823353175">
    <w:abstractNumId w:val="14"/>
  </w:num>
  <w:num w:numId="29" w16cid:durableId="1119883199">
    <w:abstractNumId w:val="12"/>
  </w:num>
  <w:num w:numId="30" w16cid:durableId="1695157652">
    <w:abstractNumId w:val="31"/>
  </w:num>
  <w:num w:numId="31" w16cid:durableId="443308812">
    <w:abstractNumId w:val="11"/>
  </w:num>
  <w:num w:numId="32" w16cid:durableId="36397175">
    <w:abstractNumId w:val="24"/>
  </w:num>
  <w:num w:numId="33" w16cid:durableId="1124925853">
    <w:abstractNumId w:val="28"/>
  </w:num>
  <w:num w:numId="34" w16cid:durableId="1923759659">
    <w:abstractNumId w:val="34"/>
  </w:num>
  <w:num w:numId="35" w16cid:durableId="904726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A"/>
    <w:rsid w:val="00004D5C"/>
    <w:rsid w:val="00005F68"/>
    <w:rsid w:val="00012B00"/>
    <w:rsid w:val="00017386"/>
    <w:rsid w:val="000202DC"/>
    <w:rsid w:val="0002111F"/>
    <w:rsid w:val="00026711"/>
    <w:rsid w:val="00041EDC"/>
    <w:rsid w:val="0004614F"/>
    <w:rsid w:val="0005237D"/>
    <w:rsid w:val="00057FE0"/>
    <w:rsid w:val="00061431"/>
    <w:rsid w:val="000757FC"/>
    <w:rsid w:val="000862E0"/>
    <w:rsid w:val="00093408"/>
    <w:rsid w:val="0009435C"/>
    <w:rsid w:val="000C61D1"/>
    <w:rsid w:val="000E12D9"/>
    <w:rsid w:val="000F00B8"/>
    <w:rsid w:val="00100933"/>
    <w:rsid w:val="00106A81"/>
    <w:rsid w:val="00107D90"/>
    <w:rsid w:val="00111809"/>
    <w:rsid w:val="00121002"/>
    <w:rsid w:val="0013568A"/>
    <w:rsid w:val="00170CE4"/>
    <w:rsid w:val="00173126"/>
    <w:rsid w:val="00192E34"/>
    <w:rsid w:val="001C5286"/>
    <w:rsid w:val="001C5DC9"/>
    <w:rsid w:val="001C71A9"/>
    <w:rsid w:val="001F0629"/>
    <w:rsid w:val="001F0736"/>
    <w:rsid w:val="001F2D79"/>
    <w:rsid w:val="001F4302"/>
    <w:rsid w:val="00204079"/>
    <w:rsid w:val="00211B4E"/>
    <w:rsid w:val="00213258"/>
    <w:rsid w:val="00222258"/>
    <w:rsid w:val="00223AD6"/>
    <w:rsid w:val="00233D52"/>
    <w:rsid w:val="00260D2D"/>
    <w:rsid w:val="00267E7C"/>
    <w:rsid w:val="00281106"/>
    <w:rsid w:val="00282D27"/>
    <w:rsid w:val="00292420"/>
    <w:rsid w:val="0029583F"/>
    <w:rsid w:val="002977FC"/>
    <w:rsid w:val="002B30BA"/>
    <w:rsid w:val="002D265D"/>
    <w:rsid w:val="002E4D3F"/>
    <w:rsid w:val="002F66A6"/>
    <w:rsid w:val="003025DD"/>
    <w:rsid w:val="003050DB"/>
    <w:rsid w:val="00307E0B"/>
    <w:rsid w:val="00310561"/>
    <w:rsid w:val="003128E2"/>
    <w:rsid w:val="00314336"/>
    <w:rsid w:val="00326C03"/>
    <w:rsid w:val="00340DE0"/>
    <w:rsid w:val="00342327"/>
    <w:rsid w:val="00345279"/>
    <w:rsid w:val="00347E11"/>
    <w:rsid w:val="00350C92"/>
    <w:rsid w:val="00355AB1"/>
    <w:rsid w:val="00370311"/>
    <w:rsid w:val="003774A8"/>
    <w:rsid w:val="0038587E"/>
    <w:rsid w:val="00392ED4"/>
    <w:rsid w:val="0039784F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1FC"/>
    <w:rsid w:val="003F4A27"/>
    <w:rsid w:val="003F57F7"/>
    <w:rsid w:val="003F6A0B"/>
    <w:rsid w:val="0041223B"/>
    <w:rsid w:val="0042068E"/>
    <w:rsid w:val="00442C65"/>
    <w:rsid w:val="004468CD"/>
    <w:rsid w:val="00457192"/>
    <w:rsid w:val="004660C8"/>
    <w:rsid w:val="00466F31"/>
    <w:rsid w:val="00472EBA"/>
    <w:rsid w:val="00473B66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3777"/>
    <w:rsid w:val="004C70EE"/>
    <w:rsid w:val="004C727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6A92"/>
    <w:rsid w:val="00567799"/>
    <w:rsid w:val="00570925"/>
    <w:rsid w:val="00571A0B"/>
    <w:rsid w:val="005850D7"/>
    <w:rsid w:val="00596E2B"/>
    <w:rsid w:val="005A5193"/>
    <w:rsid w:val="005D4247"/>
    <w:rsid w:val="005E2F29"/>
    <w:rsid w:val="005E3B7F"/>
    <w:rsid w:val="005E4E79"/>
    <w:rsid w:val="00614AEE"/>
    <w:rsid w:val="006175D7"/>
    <w:rsid w:val="006208E5"/>
    <w:rsid w:val="00631F82"/>
    <w:rsid w:val="00654B4D"/>
    <w:rsid w:val="00670A48"/>
    <w:rsid w:val="00672F6F"/>
    <w:rsid w:val="00693760"/>
    <w:rsid w:val="0069523C"/>
    <w:rsid w:val="006B3A3A"/>
    <w:rsid w:val="006B4A30"/>
    <w:rsid w:val="006B7569"/>
    <w:rsid w:val="006B79D6"/>
    <w:rsid w:val="006B7B68"/>
    <w:rsid w:val="006C1EDB"/>
    <w:rsid w:val="006C7EB5"/>
    <w:rsid w:val="006D3188"/>
    <w:rsid w:val="006D59F9"/>
    <w:rsid w:val="006E08FC"/>
    <w:rsid w:val="006F1139"/>
    <w:rsid w:val="006F2588"/>
    <w:rsid w:val="00710A6C"/>
    <w:rsid w:val="00712266"/>
    <w:rsid w:val="00732C27"/>
    <w:rsid w:val="00750C93"/>
    <w:rsid w:val="00750D9D"/>
    <w:rsid w:val="00757B3B"/>
    <w:rsid w:val="00762996"/>
    <w:rsid w:val="00773075"/>
    <w:rsid w:val="007758D4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85D4B"/>
    <w:rsid w:val="00891929"/>
    <w:rsid w:val="008926C9"/>
    <w:rsid w:val="008A0A0D"/>
    <w:rsid w:val="008A7D70"/>
    <w:rsid w:val="008C562B"/>
    <w:rsid w:val="008D3090"/>
    <w:rsid w:val="008D4306"/>
    <w:rsid w:val="008D4508"/>
    <w:rsid w:val="008E77D6"/>
    <w:rsid w:val="0090304E"/>
    <w:rsid w:val="00915928"/>
    <w:rsid w:val="0093335A"/>
    <w:rsid w:val="009351EA"/>
    <w:rsid w:val="0094502D"/>
    <w:rsid w:val="00947013"/>
    <w:rsid w:val="00957413"/>
    <w:rsid w:val="00971673"/>
    <w:rsid w:val="00981881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3278"/>
    <w:rsid w:val="00A27478"/>
    <w:rsid w:val="00A3270B"/>
    <w:rsid w:val="00A43574"/>
    <w:rsid w:val="00A43B02"/>
    <w:rsid w:val="00A5156E"/>
    <w:rsid w:val="00A56824"/>
    <w:rsid w:val="00A6283A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4204"/>
    <w:rsid w:val="00B517E1"/>
    <w:rsid w:val="00B539AD"/>
    <w:rsid w:val="00B54637"/>
    <w:rsid w:val="00B55E70"/>
    <w:rsid w:val="00B639D8"/>
    <w:rsid w:val="00B84409"/>
    <w:rsid w:val="00BB5683"/>
    <w:rsid w:val="00BC076F"/>
    <w:rsid w:val="00BD0826"/>
    <w:rsid w:val="00BE3210"/>
    <w:rsid w:val="00BF0C25"/>
    <w:rsid w:val="00BF6686"/>
    <w:rsid w:val="00C0122A"/>
    <w:rsid w:val="00C141C6"/>
    <w:rsid w:val="00C2071A"/>
    <w:rsid w:val="00C20ACB"/>
    <w:rsid w:val="00C26068"/>
    <w:rsid w:val="00C271A8"/>
    <w:rsid w:val="00C35FFD"/>
    <w:rsid w:val="00C37A77"/>
    <w:rsid w:val="00C4042C"/>
    <w:rsid w:val="00C461E6"/>
    <w:rsid w:val="00C62BB6"/>
    <w:rsid w:val="00C811C3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A"/>
    <w:rsid w:val="00D021D2"/>
    <w:rsid w:val="00D057AC"/>
    <w:rsid w:val="00D13D8A"/>
    <w:rsid w:val="00D279D8"/>
    <w:rsid w:val="00D27C8E"/>
    <w:rsid w:val="00D4141B"/>
    <w:rsid w:val="00D4145D"/>
    <w:rsid w:val="00D45543"/>
    <w:rsid w:val="00D5467F"/>
    <w:rsid w:val="00D60CBB"/>
    <w:rsid w:val="00D6730A"/>
    <w:rsid w:val="00D76068"/>
    <w:rsid w:val="00D76B01"/>
    <w:rsid w:val="00D84704"/>
    <w:rsid w:val="00D95424"/>
    <w:rsid w:val="00DB714B"/>
    <w:rsid w:val="00DF5BFB"/>
    <w:rsid w:val="00E14170"/>
    <w:rsid w:val="00E40CFE"/>
    <w:rsid w:val="00E41725"/>
    <w:rsid w:val="00E42FE9"/>
    <w:rsid w:val="00E469E4"/>
    <w:rsid w:val="00E475C3"/>
    <w:rsid w:val="00E509B0"/>
    <w:rsid w:val="00E57E8C"/>
    <w:rsid w:val="00E74C10"/>
    <w:rsid w:val="00E7634A"/>
    <w:rsid w:val="00E82BA3"/>
    <w:rsid w:val="00EA1688"/>
    <w:rsid w:val="00ED592E"/>
    <w:rsid w:val="00ED6ABD"/>
    <w:rsid w:val="00EE3C0F"/>
    <w:rsid w:val="00EF02AC"/>
    <w:rsid w:val="00EF2A7F"/>
    <w:rsid w:val="00EF346C"/>
    <w:rsid w:val="00F03EAC"/>
    <w:rsid w:val="00F14024"/>
    <w:rsid w:val="00F20CD4"/>
    <w:rsid w:val="00F259D7"/>
    <w:rsid w:val="00F32D05"/>
    <w:rsid w:val="00F35263"/>
    <w:rsid w:val="00F53AEA"/>
    <w:rsid w:val="00F66093"/>
    <w:rsid w:val="00F848D6"/>
    <w:rsid w:val="00F87628"/>
    <w:rsid w:val="00FA5DDD"/>
    <w:rsid w:val="00FD0B7B"/>
    <w:rsid w:val="00FD4E71"/>
    <w:rsid w:val="00FD7CEC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20FCF3"/>
  <w15:chartTrackingRefBased/>
  <w15:docId w15:val="{5F6E6164-FA15-43A8-93F7-0FB60A5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5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68C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67E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67E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7E7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E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3" ma:contentTypeDescription="Skapa nytt dokument med möjlighet att välja RK-mall" ma:contentTypeScope="" ma:versionID="d45806c58415ba85fccac34fb6b53f2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B8C4F9EF-DD48-4CBA-BFF5-AC39836E5A3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417FD9E-FEF8-45D8-83BC-EEE3DD34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8E659-2A4C-4AF4-8324-7FF893499B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09B8CD-49F9-42AE-945A-579880D17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B5713-E9E9-4DE6-B912-6DCF062A64F2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Karin Levin</cp:lastModifiedBy>
  <cp:revision>4</cp:revision>
  <dcterms:created xsi:type="dcterms:W3CDTF">2024-12-10T07:52:00Z</dcterms:created>
  <dcterms:modified xsi:type="dcterms:W3CDTF">2025-10-13T11:26:00Z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Order">
    <vt:r8>1500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CopySource">
    <vt:lpwstr>https://dhs.sp.regeringskansliet.se/tillf/20241104/Regleringsbrev/Bilaga. Pågående uppdrag.docx</vt:lpwstr>
  </property>
</Properties>
</file>