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02" w:rsidRPr="00E118DD" w:rsidRDefault="002C3202" w:rsidP="002C3202">
      <w:pPr>
        <w:pStyle w:val="Rubrik3"/>
      </w:pPr>
      <w:r w:rsidRPr="00E118DD">
        <w:t>1. Ekonomi</w:t>
      </w:r>
    </w:p>
    <w:p w:rsidR="007B2284" w:rsidRPr="0049795F" w:rsidRDefault="002C3202" w:rsidP="002C3202">
      <w:pPr>
        <w:rPr>
          <w:strike/>
        </w:rPr>
      </w:pPr>
      <w:r w:rsidRPr="0049795F">
        <w:rPr>
          <w:strike/>
        </w:rPr>
        <w:t xml:space="preserve">Försvarsmakten ska redovisa vilken omfördelning av medel som skett från så kallad stödverksamhet till operativ verksamhet. </w:t>
      </w:r>
      <w:r w:rsidR="009B7A7B" w:rsidRPr="0049795F">
        <w:rPr>
          <w:strike/>
        </w:rPr>
        <w:t xml:space="preserve">Av redovisningen ska framgå hur Försvarsmakten disponerat de 227 miljoner kronor som </w:t>
      </w:r>
      <w:r w:rsidR="00E95B56" w:rsidRPr="0049795F">
        <w:rPr>
          <w:strike/>
        </w:rPr>
        <w:t xml:space="preserve">från och med 2012 i enlighet med riksdagens beslut tillförts </w:t>
      </w:r>
      <w:r w:rsidR="009B7A7B" w:rsidRPr="0049795F">
        <w:rPr>
          <w:strike/>
        </w:rPr>
        <w:t xml:space="preserve">anslaget 1:1 </w:t>
      </w:r>
      <w:r w:rsidR="009B7A7B" w:rsidRPr="0049795F">
        <w:rPr>
          <w:i/>
          <w:strike/>
        </w:rPr>
        <w:t>Förbandsverksamhet och beredskap</w:t>
      </w:r>
      <w:r w:rsidR="00E95B56" w:rsidRPr="0049795F">
        <w:rPr>
          <w:i/>
          <w:strike/>
        </w:rPr>
        <w:t>.</w:t>
      </w:r>
      <w:r w:rsidR="00E95B56" w:rsidRPr="0049795F">
        <w:rPr>
          <w:strike/>
        </w:rPr>
        <w:t xml:space="preserve"> </w:t>
      </w:r>
      <w:bookmarkStart w:id="0" w:name="_GoBack"/>
      <w:bookmarkEnd w:id="0"/>
    </w:p>
    <w:p w:rsidR="007B2284" w:rsidRPr="0049795F" w:rsidRDefault="007B2284" w:rsidP="002C3202">
      <w:pPr>
        <w:rPr>
          <w:strike/>
        </w:rPr>
      </w:pPr>
    </w:p>
    <w:p w:rsidR="007B2284" w:rsidRPr="0049795F" w:rsidRDefault="007B2284" w:rsidP="007B2284">
      <w:pPr>
        <w:rPr>
          <w:strike/>
        </w:rPr>
      </w:pPr>
      <w:r w:rsidRPr="0049795F">
        <w:rPr>
          <w:strike/>
        </w:rPr>
        <w:t xml:space="preserve">Redovisningen ska för åren 2008 till 2011 omfatta </w:t>
      </w:r>
      <w:r w:rsidR="002C3202" w:rsidRPr="0049795F">
        <w:rPr>
          <w:strike/>
        </w:rPr>
        <w:t>kostnadsminskningar och kostnadsökningar inom olika kostnadsslag.</w:t>
      </w:r>
      <w:r w:rsidR="00FE7874" w:rsidRPr="0049795F">
        <w:rPr>
          <w:strike/>
        </w:rPr>
        <w:t xml:space="preserve"> </w:t>
      </w:r>
      <w:r w:rsidRPr="0049795F">
        <w:rPr>
          <w:strike/>
        </w:rPr>
        <w:t xml:space="preserve">Redovisningen ska vidare beskriva hur de avgifter som Försvarsmakten betalar till de s.k. stödmyndigheterna </w:t>
      </w:r>
      <w:r w:rsidR="00B97FAE" w:rsidRPr="0049795F">
        <w:rPr>
          <w:strike/>
        </w:rPr>
        <w:t xml:space="preserve">har förändrats </w:t>
      </w:r>
      <w:r w:rsidRPr="0049795F">
        <w:rPr>
          <w:strike/>
        </w:rPr>
        <w:t xml:space="preserve">under perioden 2008 till 2011 inklusive bedömningar om kostnadsminskningar realiserats utan kvalitetssänkning. </w:t>
      </w:r>
    </w:p>
    <w:p w:rsidR="007B2284" w:rsidRPr="0049795F" w:rsidRDefault="007B2284" w:rsidP="007B2284">
      <w:pPr>
        <w:rPr>
          <w:strike/>
        </w:rPr>
      </w:pPr>
    </w:p>
    <w:p w:rsidR="002C3202" w:rsidRPr="0049795F" w:rsidRDefault="007B2284" w:rsidP="007B2284">
      <w:pPr>
        <w:rPr>
          <w:strike/>
        </w:rPr>
      </w:pPr>
      <w:r w:rsidRPr="0049795F">
        <w:rPr>
          <w:strike/>
        </w:rPr>
        <w:t xml:space="preserve">Redovisningen ska omfatta vilka </w:t>
      </w:r>
      <w:r w:rsidR="00461497" w:rsidRPr="0049795F">
        <w:rPr>
          <w:strike/>
        </w:rPr>
        <w:t xml:space="preserve">kostnadsminskningar myndigheten genomfört </w:t>
      </w:r>
      <w:r w:rsidRPr="0049795F">
        <w:rPr>
          <w:strike/>
        </w:rPr>
        <w:t xml:space="preserve">sedan 2008 </w:t>
      </w:r>
      <w:r w:rsidR="00461497" w:rsidRPr="0049795F">
        <w:rPr>
          <w:strike/>
        </w:rPr>
        <w:t xml:space="preserve">inklusive de planerade </w:t>
      </w:r>
      <w:proofErr w:type="gramStart"/>
      <w:r w:rsidR="00461497" w:rsidRPr="0049795F">
        <w:rPr>
          <w:strike/>
        </w:rPr>
        <w:t xml:space="preserve">åtgärder  </w:t>
      </w:r>
      <w:r w:rsidRPr="0049795F">
        <w:rPr>
          <w:strike/>
        </w:rPr>
        <w:t>som</w:t>
      </w:r>
      <w:proofErr w:type="gramEnd"/>
      <w:r w:rsidRPr="0049795F">
        <w:rPr>
          <w:strike/>
        </w:rPr>
        <w:t xml:space="preserve"> framgår av Försvarsstrukturutredningens (SOU 2011:36) betänkande</w:t>
      </w:r>
      <w:r w:rsidR="00FE7874" w:rsidRPr="0049795F">
        <w:rPr>
          <w:strike/>
        </w:rPr>
        <w:t xml:space="preserve">. </w:t>
      </w:r>
    </w:p>
    <w:p w:rsidR="002C3202" w:rsidRPr="0049795F" w:rsidRDefault="002C3202" w:rsidP="002C3202">
      <w:pPr>
        <w:rPr>
          <w:strike/>
        </w:rPr>
      </w:pPr>
    </w:p>
    <w:p w:rsidR="002C3202" w:rsidRPr="0049795F" w:rsidRDefault="002C3202" w:rsidP="002C3202">
      <w:pPr>
        <w:rPr>
          <w:strike/>
        </w:rPr>
      </w:pPr>
      <w:r w:rsidRPr="0049795F">
        <w:rPr>
          <w:strike/>
        </w:rPr>
        <w:t>Försvarsmakten ska även redovisa utfall avseende personalkostnader</w:t>
      </w:r>
      <w:r w:rsidR="009F0963" w:rsidRPr="0049795F">
        <w:rPr>
          <w:strike/>
        </w:rPr>
        <w:t xml:space="preserve"> </w:t>
      </w:r>
      <w:r w:rsidRPr="0049795F">
        <w:rPr>
          <w:strike/>
        </w:rPr>
        <w:t>uppdelat på följande kategorier;</w:t>
      </w:r>
    </w:p>
    <w:p w:rsidR="002C3202" w:rsidRPr="0049795F" w:rsidRDefault="002C3202" w:rsidP="002C3202">
      <w:pPr>
        <w:rPr>
          <w:strike/>
        </w:rPr>
      </w:pPr>
      <w:proofErr w:type="gramStart"/>
      <w:r w:rsidRPr="0049795F">
        <w:rPr>
          <w:strike/>
        </w:rPr>
        <w:t>-</w:t>
      </w:r>
      <w:proofErr w:type="gramEnd"/>
      <w:r w:rsidRPr="0049795F">
        <w:rPr>
          <w:strike/>
        </w:rPr>
        <w:t xml:space="preserve"> officerare,</w:t>
      </w:r>
    </w:p>
    <w:p w:rsidR="002C3202" w:rsidRPr="0049795F" w:rsidRDefault="002C3202" w:rsidP="002C3202">
      <w:pPr>
        <w:rPr>
          <w:strike/>
        </w:rPr>
      </w:pPr>
      <w:proofErr w:type="gramStart"/>
      <w:r w:rsidRPr="0049795F">
        <w:rPr>
          <w:strike/>
        </w:rPr>
        <w:t>-</w:t>
      </w:r>
      <w:proofErr w:type="gramEnd"/>
      <w:r w:rsidRPr="0049795F">
        <w:rPr>
          <w:strike/>
        </w:rPr>
        <w:t xml:space="preserve"> specialistofficerare,</w:t>
      </w:r>
    </w:p>
    <w:p w:rsidR="002C3202" w:rsidRPr="0049795F" w:rsidRDefault="002C3202" w:rsidP="002C3202">
      <w:pPr>
        <w:rPr>
          <w:strike/>
        </w:rPr>
      </w:pPr>
      <w:proofErr w:type="gramStart"/>
      <w:r w:rsidRPr="0049795F">
        <w:rPr>
          <w:strike/>
        </w:rPr>
        <w:t>-</w:t>
      </w:r>
      <w:proofErr w:type="gramEnd"/>
      <w:r w:rsidRPr="0049795F">
        <w:rPr>
          <w:strike/>
        </w:rPr>
        <w:t xml:space="preserve"> anställda gruppbefäl, soldater och sjömän, fördelat på kontinuerligt respektive tidvis tjänstgörande,</w:t>
      </w:r>
    </w:p>
    <w:p w:rsidR="002C3202" w:rsidRPr="0049795F" w:rsidRDefault="002C3202" w:rsidP="002C3202">
      <w:pPr>
        <w:rPr>
          <w:strike/>
        </w:rPr>
      </w:pPr>
      <w:proofErr w:type="gramStart"/>
      <w:r w:rsidRPr="0049795F">
        <w:rPr>
          <w:strike/>
        </w:rPr>
        <w:t>-</w:t>
      </w:r>
      <w:proofErr w:type="gramEnd"/>
      <w:r w:rsidRPr="0049795F">
        <w:rPr>
          <w:strike/>
        </w:rPr>
        <w:t xml:space="preserve"> civila samt</w:t>
      </w:r>
    </w:p>
    <w:p w:rsidR="002C3202" w:rsidRPr="0049795F" w:rsidRDefault="002C3202" w:rsidP="002C3202">
      <w:pPr>
        <w:rPr>
          <w:strike/>
        </w:rPr>
      </w:pPr>
      <w:proofErr w:type="gramStart"/>
      <w:r w:rsidRPr="0049795F">
        <w:rPr>
          <w:strike/>
        </w:rPr>
        <w:t>-</w:t>
      </w:r>
      <w:proofErr w:type="gramEnd"/>
      <w:r w:rsidRPr="0049795F">
        <w:rPr>
          <w:strike/>
        </w:rPr>
        <w:t xml:space="preserve"> specialister.</w:t>
      </w:r>
    </w:p>
    <w:p w:rsidR="00FE7874" w:rsidRPr="0049795F" w:rsidRDefault="00FE7874" w:rsidP="002C3202">
      <w:pPr>
        <w:rPr>
          <w:strike/>
        </w:rPr>
      </w:pPr>
    </w:p>
    <w:p w:rsidR="00FE7874" w:rsidRPr="0049795F" w:rsidRDefault="00FE7874" w:rsidP="002C3202">
      <w:pPr>
        <w:rPr>
          <w:strike/>
        </w:rPr>
      </w:pPr>
      <w:r w:rsidRPr="0049795F">
        <w:rPr>
          <w:strike/>
        </w:rPr>
        <w:t>Personalkostnadsredovisningarna ska innehålla sådan information som är nödvändig för att kunna jämföra de personalkostnader som redovisas i årsredovisningen med den kostnadsutveckling som redovisas i budgetunderlaget.</w:t>
      </w:r>
    </w:p>
    <w:p w:rsidR="002C3202" w:rsidRPr="0049795F" w:rsidRDefault="002C3202" w:rsidP="002C3202">
      <w:pPr>
        <w:rPr>
          <w:strike/>
        </w:rPr>
      </w:pPr>
    </w:p>
    <w:p w:rsidR="002C3202" w:rsidRPr="0049795F" w:rsidRDefault="002C3202" w:rsidP="002C3202">
      <w:pPr>
        <w:rPr>
          <w:strike/>
        </w:rPr>
      </w:pPr>
      <w:r w:rsidRPr="0049795F">
        <w:rPr>
          <w:strike/>
        </w:rPr>
        <w:t xml:space="preserve">Försvarsmakten ska vidare redovisa den planerade utvecklingen av personalkostnaderna (ovan) fram till dess att insatsorganisationen 2014 </w:t>
      </w:r>
      <w:r w:rsidR="005A789A" w:rsidRPr="0049795F">
        <w:rPr>
          <w:strike/>
        </w:rPr>
        <w:t xml:space="preserve">(IO 14) </w:t>
      </w:r>
      <w:r w:rsidRPr="0049795F">
        <w:rPr>
          <w:strike/>
        </w:rPr>
        <w:t>är i balans.</w:t>
      </w:r>
      <w:r w:rsidRPr="0049795F" w:rsidDel="0078244B">
        <w:rPr>
          <w:strike/>
        </w:rPr>
        <w:t xml:space="preserve"> </w:t>
      </w:r>
    </w:p>
    <w:p w:rsidR="00276E1A" w:rsidRDefault="00276E1A" w:rsidP="002C3202"/>
    <w:p w:rsidR="002C3202" w:rsidRDefault="002C3202" w:rsidP="002C3202">
      <w:r w:rsidRPr="0049795F">
        <w:rPr>
          <w:strike/>
        </w:rPr>
        <w:t>Därutöver ska</w:t>
      </w:r>
      <w:r>
        <w:t xml:space="preserve"> FM </w:t>
      </w:r>
      <w:r w:rsidR="0049795F" w:rsidRPr="0049795F">
        <w:rPr>
          <w:u w:val="single"/>
        </w:rPr>
        <w:t xml:space="preserve">ska i sin årsredovisning </w:t>
      </w:r>
      <w:r>
        <w:t>redovisa:</w:t>
      </w:r>
    </w:p>
    <w:p w:rsidR="0049795F" w:rsidRPr="0049795F" w:rsidRDefault="0049795F" w:rsidP="002C3202">
      <w:pPr>
        <w:rPr>
          <w:u w:val="single"/>
        </w:rPr>
      </w:pPr>
      <w:proofErr w:type="gramStart"/>
      <w:r>
        <w:rPr>
          <w:u w:val="single"/>
        </w:rPr>
        <w:t>-</w:t>
      </w:r>
      <w:proofErr w:type="gramEnd"/>
      <w:r>
        <w:rPr>
          <w:u w:val="single"/>
        </w:rPr>
        <w:t xml:space="preserve"> Hur de avgifter som Försvarsmakten betalar till de s.k. stödmyndigheterna har förändrats under perioden 2008 till 2012 inklusive bedömningar om kostnadsminskningar realiserats utan kvalitetssänkning, </w:t>
      </w:r>
    </w:p>
    <w:p w:rsidR="002C3202" w:rsidRDefault="0049795F" w:rsidP="002C3202">
      <w:proofErr w:type="gramStart"/>
      <w:r>
        <w:t>-</w:t>
      </w:r>
      <w:proofErr w:type="gramEnd"/>
      <w:r>
        <w:t xml:space="preserve"> k</w:t>
      </w:r>
      <w:r w:rsidR="002C3202">
        <w:t>ostnader för soldater (uppdelade på kontinuerligt och tidvis tjänstgörande) i insatser internationellt som belast</w:t>
      </w:r>
      <w:r>
        <w:t xml:space="preserve">at anslaget 1.1 (grundlön m.m.) </w:t>
      </w:r>
      <w:r w:rsidRPr="0049795F">
        <w:rPr>
          <w:u w:val="single"/>
        </w:rPr>
        <w:t>samt</w:t>
      </w:r>
    </w:p>
    <w:p w:rsidR="002C3202" w:rsidRDefault="0049795F" w:rsidP="002C3202">
      <w:proofErr w:type="gramStart"/>
      <w:r>
        <w:t>-</w:t>
      </w:r>
      <w:proofErr w:type="gramEnd"/>
      <w:r>
        <w:t xml:space="preserve"> k</w:t>
      </w:r>
      <w:r w:rsidR="002C3202">
        <w:t>ostnader förknippade med förbandsreserven som belastat anslagen 1:1-1:5</w:t>
      </w:r>
      <w:r>
        <w:t>.</w:t>
      </w:r>
    </w:p>
    <w:p w:rsidR="002C3202" w:rsidRDefault="002C3202" w:rsidP="002C3202">
      <w:pPr>
        <w:pStyle w:val="Rubrik3"/>
      </w:pPr>
      <w:r w:rsidRPr="00E165AE">
        <w:t xml:space="preserve">2. Insatsorganisationen </w:t>
      </w:r>
    </w:p>
    <w:p w:rsidR="002C3202" w:rsidRDefault="002C3202" w:rsidP="002C3202">
      <w:r>
        <w:t>Insatsorganisationens utveckling ska följas upp genom att varje krigsförband utförligt redovisas i enlighet med uppställningen i nedanstående tabell. Aktuell status i krigsförbandet ska redovisas samt förbandens prognost</w:t>
      </w:r>
      <w:r w:rsidR="00276E1A">
        <w:t>iserade utveckling för åren 2010</w:t>
      </w:r>
      <w:r>
        <w:t xml:space="preserve">, </w:t>
      </w:r>
      <w:r w:rsidR="00276E1A">
        <w:t xml:space="preserve">2011, </w:t>
      </w:r>
      <w:r w:rsidR="00B97FAE">
        <w:t xml:space="preserve">2012, </w:t>
      </w:r>
      <w:r>
        <w:t>2013</w:t>
      </w:r>
      <w:r w:rsidR="00276E1A">
        <w:t xml:space="preserve"> och 2014</w:t>
      </w:r>
      <w:r>
        <w:t xml:space="preserve">. </w:t>
      </w:r>
      <w:r w:rsidRPr="00D1513E">
        <w:t xml:space="preserve">Redovisningen ska innehålla </w:t>
      </w:r>
      <w:r w:rsidR="00720068">
        <w:t xml:space="preserve">sammanfattningar av </w:t>
      </w:r>
      <w:r w:rsidRPr="00D1513E">
        <w:t>krigsförbandens specifikationer enligt IO 14 och den aktuella statusen ska redovisas i relationen till målsättningen</w:t>
      </w:r>
      <w:r w:rsidR="00FC395E">
        <w:t>.</w:t>
      </w:r>
      <w:r w:rsidRPr="00D1513E">
        <w:t xml:space="preserve"> </w:t>
      </w:r>
      <w:r w:rsidR="00FC395E">
        <w:t>A</w:t>
      </w:r>
      <w:r w:rsidRPr="00D1513E">
        <w:t xml:space="preserve">vvikelser från planeringen ska särskilt redovisas. Redovisningen ska mynna ut i en bedömning av förmågan hos respektive krigsförband i insatsorganisationen att lösa uppgifterna i de aktuella </w:t>
      </w:r>
      <w:r w:rsidRPr="00D1513E">
        <w:lastRenderedPageBreak/>
        <w:t>krigsförbandsspecifikationerna samt krigsförbandens förmåga att verka tillsammans för att lösa Försvarsmaktens uppgifter.</w:t>
      </w:r>
    </w:p>
    <w:p w:rsidR="002C3202" w:rsidRDefault="002C3202" w:rsidP="002C3202"/>
    <w:p w:rsidR="00276E1A" w:rsidRDefault="00276E1A" w:rsidP="002C3202"/>
    <w:p w:rsidR="00276E1A" w:rsidRDefault="00276E1A" w:rsidP="002C3202"/>
    <w:p w:rsidR="00276E1A" w:rsidRDefault="00276E1A" w:rsidP="002C3202"/>
    <w:p w:rsidR="002C3202" w:rsidRDefault="002C3202" w:rsidP="002C3202">
      <w:r>
        <w:t>Redovisning per krigsförband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2898"/>
        <w:gridCol w:w="820"/>
        <w:gridCol w:w="818"/>
        <w:gridCol w:w="818"/>
        <w:gridCol w:w="817"/>
        <w:gridCol w:w="817"/>
      </w:tblGrid>
      <w:tr w:rsidR="002C3202" w:rsidRPr="00101BB1" w:rsidTr="002C3202">
        <w:tc>
          <w:tcPr>
            <w:tcW w:w="289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20" w:type="dxa"/>
          </w:tcPr>
          <w:p w:rsidR="002C3202" w:rsidRPr="00101BB1" w:rsidRDefault="002C3202" w:rsidP="002C3202">
            <w:pPr>
              <w:pStyle w:val="RKnormal"/>
            </w:pPr>
            <w:r w:rsidRPr="00101BB1">
              <w:t>201</w:t>
            </w:r>
            <w:r w:rsidR="00FE7874">
              <w:t>0</w:t>
            </w: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  <w:r w:rsidRPr="00101BB1">
              <w:t>201</w:t>
            </w:r>
            <w:r w:rsidR="00FE7874">
              <w:t>1</w:t>
            </w: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  <w:r w:rsidRPr="00101BB1">
              <w:t>201</w:t>
            </w:r>
            <w:r w:rsidR="00FE7874">
              <w:t>2</w:t>
            </w: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  <w:r w:rsidRPr="00101BB1">
              <w:t>201</w:t>
            </w:r>
            <w:r w:rsidR="00FE7874">
              <w:t>3</w:t>
            </w:r>
          </w:p>
        </w:tc>
        <w:tc>
          <w:tcPr>
            <w:tcW w:w="817" w:type="dxa"/>
          </w:tcPr>
          <w:p w:rsidR="002C3202" w:rsidRPr="00101BB1" w:rsidRDefault="002C7982" w:rsidP="002C3202">
            <w:pPr>
              <w:pStyle w:val="RKnormal"/>
            </w:pPr>
            <w:r>
              <w:t>201</w:t>
            </w:r>
            <w:r w:rsidR="00FE7874">
              <w:t>4</w:t>
            </w:r>
          </w:p>
        </w:tc>
      </w:tr>
      <w:tr w:rsidR="002C3202" w:rsidRPr="00101BB1" w:rsidTr="002C3202">
        <w:tc>
          <w:tcPr>
            <w:tcW w:w="2898" w:type="dxa"/>
          </w:tcPr>
          <w:p w:rsidR="002C3202" w:rsidRPr="00101BB1" w:rsidRDefault="002C3202" w:rsidP="002C3202">
            <w:pPr>
              <w:pStyle w:val="RKnormal"/>
            </w:pPr>
            <w:r w:rsidRPr="00101BB1">
              <w:t>Insats</w:t>
            </w:r>
            <w:r>
              <w:t>verksamhet</w:t>
            </w:r>
          </w:p>
        </w:tc>
        <w:tc>
          <w:tcPr>
            <w:tcW w:w="820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</w:tr>
      <w:tr w:rsidR="002C3202" w:rsidRPr="00101BB1" w:rsidTr="002C3202">
        <w:tc>
          <w:tcPr>
            <w:tcW w:w="2898" w:type="dxa"/>
          </w:tcPr>
          <w:p w:rsidR="002C3202" w:rsidRPr="00101BB1" w:rsidRDefault="002C3202" w:rsidP="002C3202">
            <w:pPr>
              <w:pStyle w:val="RKnormal"/>
            </w:pPr>
            <w:r w:rsidRPr="00101BB1">
              <w:t>Övning</w:t>
            </w:r>
            <w:r>
              <w:t>sverksamhet</w:t>
            </w:r>
          </w:p>
        </w:tc>
        <w:tc>
          <w:tcPr>
            <w:tcW w:w="820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</w:tr>
      <w:tr w:rsidR="002C3202" w:rsidRPr="00101BB1" w:rsidTr="002C3202">
        <w:tc>
          <w:tcPr>
            <w:tcW w:w="2898" w:type="dxa"/>
          </w:tcPr>
          <w:p w:rsidR="002C3202" w:rsidRPr="00101BB1" w:rsidRDefault="002C3202" w:rsidP="002C3202">
            <w:pPr>
              <w:pStyle w:val="RKnormal"/>
            </w:pPr>
            <w:r>
              <w:t>Personaluppfyllnad</w:t>
            </w:r>
          </w:p>
        </w:tc>
        <w:tc>
          <w:tcPr>
            <w:tcW w:w="820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</w:tr>
      <w:tr w:rsidR="002C3202" w:rsidRPr="00101BB1" w:rsidTr="002C3202">
        <w:tc>
          <w:tcPr>
            <w:tcW w:w="2898" w:type="dxa"/>
          </w:tcPr>
          <w:p w:rsidR="002C3202" w:rsidRPr="00101BB1" w:rsidRDefault="002C3202" w:rsidP="002C3202">
            <w:pPr>
              <w:pStyle w:val="RKnormal"/>
            </w:pPr>
            <w:r w:rsidRPr="00101BB1">
              <w:t>Materiel</w:t>
            </w:r>
            <w:r>
              <w:t>uppfyllnad</w:t>
            </w:r>
          </w:p>
        </w:tc>
        <w:tc>
          <w:tcPr>
            <w:tcW w:w="820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</w:tr>
      <w:tr w:rsidR="002C3202" w:rsidRPr="00101BB1" w:rsidTr="002C3202">
        <w:tc>
          <w:tcPr>
            <w:tcW w:w="2898" w:type="dxa"/>
          </w:tcPr>
          <w:p w:rsidR="002C3202" w:rsidRPr="00101BB1" w:rsidRDefault="002C3202" w:rsidP="002C3202">
            <w:pPr>
              <w:pStyle w:val="RKnormal"/>
            </w:pPr>
            <w:r>
              <w:t>Beredskap</w:t>
            </w:r>
          </w:p>
        </w:tc>
        <w:tc>
          <w:tcPr>
            <w:tcW w:w="820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</w:tr>
      <w:tr w:rsidR="002C3202" w:rsidRPr="00101BB1" w:rsidTr="002C3202">
        <w:tc>
          <w:tcPr>
            <w:tcW w:w="2898" w:type="dxa"/>
          </w:tcPr>
          <w:p w:rsidR="002C3202" w:rsidRPr="00101BB1" w:rsidRDefault="002C3202" w:rsidP="002C3202">
            <w:pPr>
              <w:pStyle w:val="RKnormal"/>
            </w:pPr>
            <w:r>
              <w:t xml:space="preserve">Förmåga </w:t>
            </w:r>
          </w:p>
        </w:tc>
        <w:tc>
          <w:tcPr>
            <w:tcW w:w="820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8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  <w:tc>
          <w:tcPr>
            <w:tcW w:w="817" w:type="dxa"/>
          </w:tcPr>
          <w:p w:rsidR="002C3202" w:rsidRPr="00101BB1" w:rsidRDefault="002C3202" w:rsidP="002C3202">
            <w:pPr>
              <w:pStyle w:val="RKnormal"/>
            </w:pPr>
          </w:p>
        </w:tc>
      </w:tr>
    </w:tbl>
    <w:p w:rsidR="002C3202" w:rsidRDefault="002C3202" w:rsidP="002C3202"/>
    <w:p w:rsidR="002C3202" w:rsidRDefault="002C3202" w:rsidP="002C3202">
      <w:r>
        <w:t>I fråga om insatsverksamhet avses all verksamhet som krigsförbanden genomför.</w:t>
      </w:r>
    </w:p>
    <w:p w:rsidR="002C3202" w:rsidRDefault="002C3202" w:rsidP="002C3202"/>
    <w:p w:rsidR="002C3202" w:rsidRDefault="002C3202" w:rsidP="002C3202">
      <w:r>
        <w:t>I fråga om övningsverksamhet ska myndigheten redovisa planerade krigsförbandsövningar, övningar som inkluderar flera krigsförband</w:t>
      </w:r>
      <w:r w:rsidR="00C759AA">
        <w:t>,</w:t>
      </w:r>
      <w:r w:rsidR="005A789A">
        <w:t xml:space="preserve"> </w:t>
      </w:r>
      <w:r>
        <w:t>planerad repetitionsutbildning</w:t>
      </w:r>
      <w:r w:rsidR="00C759AA">
        <w:t xml:space="preserve"> samt hur stor del av förbanden som deltar i övningen</w:t>
      </w:r>
      <w:r>
        <w:t xml:space="preserve">.  </w:t>
      </w:r>
    </w:p>
    <w:p w:rsidR="002C3202" w:rsidRDefault="002C3202" w:rsidP="002C3202"/>
    <w:p w:rsidR="002C3202" w:rsidRDefault="002C3202" w:rsidP="002C3202">
      <w:r>
        <w:t xml:space="preserve">I fråga om personal ska myndigheten redovisa den prognostiserade </w:t>
      </w:r>
      <w:proofErr w:type="spellStart"/>
      <w:r>
        <w:t>uppfyllnaden</w:t>
      </w:r>
      <w:proofErr w:type="spellEnd"/>
      <w:r>
        <w:t xml:space="preserve"> ifråga om krigsplacerad personal per krigsförband för åren 2012-201</w:t>
      </w:r>
      <w:r w:rsidR="009571EF">
        <w:t>4</w:t>
      </w:r>
      <w:r>
        <w:t>, uppdelat på kategorierna:</w:t>
      </w:r>
    </w:p>
    <w:p w:rsidR="002C3202" w:rsidRDefault="002D1EC8" w:rsidP="002C3202">
      <w:proofErr w:type="gramStart"/>
      <w:r>
        <w:t>-</w:t>
      </w:r>
      <w:proofErr w:type="gramEnd"/>
      <w:r>
        <w:t xml:space="preserve"> </w:t>
      </w:r>
      <w:r w:rsidR="002C3202">
        <w:t xml:space="preserve">officerare, </w:t>
      </w:r>
    </w:p>
    <w:p w:rsidR="002C3202" w:rsidRDefault="002D1EC8" w:rsidP="002C3202">
      <w:proofErr w:type="gramStart"/>
      <w:r>
        <w:t>-</w:t>
      </w:r>
      <w:proofErr w:type="gramEnd"/>
      <w:r>
        <w:t xml:space="preserve"> </w:t>
      </w:r>
      <w:r w:rsidR="002C3202">
        <w:t xml:space="preserve">specialistofficerare, </w:t>
      </w:r>
    </w:p>
    <w:p w:rsidR="002C3202" w:rsidRDefault="002D1EC8" w:rsidP="002C3202">
      <w:proofErr w:type="gramStart"/>
      <w:r>
        <w:t>-</w:t>
      </w:r>
      <w:proofErr w:type="gramEnd"/>
      <w:r>
        <w:t xml:space="preserve"> </w:t>
      </w:r>
      <w:r w:rsidR="002C3202">
        <w:t>reservofficerare,</w:t>
      </w:r>
    </w:p>
    <w:p w:rsidR="002C3202" w:rsidRDefault="002D1EC8" w:rsidP="002C3202">
      <w:proofErr w:type="gramStart"/>
      <w:r>
        <w:t>-</w:t>
      </w:r>
      <w:proofErr w:type="gramEnd"/>
      <w:r>
        <w:t xml:space="preserve"> </w:t>
      </w:r>
      <w:r w:rsidR="002C3202">
        <w:t>kontinuerligt tjänstgörande grupp</w:t>
      </w:r>
      <w:r w:rsidR="00720068">
        <w:t>befäl</w:t>
      </w:r>
      <w:r w:rsidR="002C3202">
        <w:t xml:space="preserve">, soldater och sjömän, </w:t>
      </w:r>
    </w:p>
    <w:p w:rsidR="002C3202" w:rsidRDefault="002D1EC8" w:rsidP="002C3202">
      <w:proofErr w:type="gramStart"/>
      <w:r>
        <w:t>-</w:t>
      </w:r>
      <w:proofErr w:type="gramEnd"/>
      <w:r>
        <w:t xml:space="preserve"> </w:t>
      </w:r>
      <w:r w:rsidR="002C3202">
        <w:t>tidvis tjänstgörande grupp</w:t>
      </w:r>
      <w:r w:rsidR="00720068">
        <w:t>befäl</w:t>
      </w:r>
      <w:r w:rsidR="002C3202">
        <w:t xml:space="preserve">, soldater och sjömän, </w:t>
      </w:r>
    </w:p>
    <w:p w:rsidR="002C3202" w:rsidRDefault="002D1EC8" w:rsidP="002C3202">
      <w:proofErr w:type="gramStart"/>
      <w:r>
        <w:t>-</w:t>
      </w:r>
      <w:proofErr w:type="gramEnd"/>
      <w:r>
        <w:t xml:space="preserve"> </w:t>
      </w:r>
      <w:r w:rsidR="002C3202">
        <w:t xml:space="preserve">totalförsvarspliktig personal och </w:t>
      </w:r>
    </w:p>
    <w:p w:rsidR="002C3202" w:rsidRDefault="002D1EC8" w:rsidP="002C3202">
      <w:proofErr w:type="gramStart"/>
      <w:r>
        <w:t>-</w:t>
      </w:r>
      <w:proofErr w:type="gramEnd"/>
      <w:r>
        <w:t xml:space="preserve"> </w:t>
      </w:r>
      <w:r w:rsidR="002C3202">
        <w:t>övriga.</w:t>
      </w:r>
    </w:p>
    <w:p w:rsidR="002C3202" w:rsidRDefault="002C3202" w:rsidP="002C3202"/>
    <w:p w:rsidR="002C3202" w:rsidRDefault="002C3202" w:rsidP="002C3202">
      <w:r>
        <w:t>I redovisningen av hemvärnsförbanden ska även hemvärnsbevakningssoldater, hemvärnsinsatssoldater samt frivilligpersonal</w:t>
      </w:r>
      <w:r w:rsidRPr="00F3385B">
        <w:t xml:space="preserve"> </w:t>
      </w:r>
      <w:r>
        <w:t xml:space="preserve">omfattas.  </w:t>
      </w:r>
    </w:p>
    <w:p w:rsidR="002C3202" w:rsidRDefault="002C3202" w:rsidP="002C3202"/>
    <w:p w:rsidR="0027378D" w:rsidRDefault="002C3202" w:rsidP="0027378D">
      <w:r>
        <w:t xml:space="preserve">I fråga om materiel ska myndigheten redovisa </w:t>
      </w:r>
      <w:r w:rsidR="0027378D" w:rsidRPr="0027378D">
        <w:t xml:space="preserve">materielinnehållet i respektive krigsförband enligt krigsförbandsspecifikationen. Redovisningen ska omfatta materiel som är av väsentlig betydelse för insatsorganisationens förmåga samt göras för samtliga i insatsorganisationen ingående förbandsindivider. Även </w:t>
      </w:r>
      <w:r>
        <w:t>det prognostiserade materielläget per krigsförband samt planerad anskaffning, renovering eller modifiering av sådan materiel under åren 2012-201</w:t>
      </w:r>
      <w:r w:rsidR="009571EF">
        <w:t>4</w:t>
      </w:r>
      <w:r>
        <w:t xml:space="preserve">. </w:t>
      </w:r>
      <w:r w:rsidR="0027378D">
        <w:t xml:space="preserve">ska redovisas. </w:t>
      </w:r>
    </w:p>
    <w:p w:rsidR="00835789" w:rsidRDefault="00835789" w:rsidP="0027378D"/>
    <w:p w:rsidR="0027378D" w:rsidRDefault="0027378D" w:rsidP="0027378D">
      <w:r>
        <w:t xml:space="preserve">Redovisningen ska särskilt belysa tillgänglighet och tillgång på materiel samt systembalans mellan exempelvis plattformar, deras beväpning och övriga stödfunktioner av betydelse för förbandens operativa förmåga. Även uthålligheten bör belysas i mått relevanta för respektive </w:t>
      </w:r>
      <w:proofErr w:type="spellStart"/>
      <w:r>
        <w:t>förbandstyp</w:t>
      </w:r>
      <w:proofErr w:type="spellEnd"/>
      <w:r>
        <w:t>.</w:t>
      </w:r>
    </w:p>
    <w:p w:rsidR="0027378D" w:rsidRDefault="0027378D" w:rsidP="0027378D"/>
    <w:p w:rsidR="002C3202" w:rsidRDefault="0027378D" w:rsidP="0027378D">
      <w:r>
        <w:t>Eventuella kvantitativa och kvalitativa m</w:t>
      </w:r>
      <w:r w:rsidR="00276E1A">
        <w:t>ateriella brister fram till 2014</w:t>
      </w:r>
      <w:r>
        <w:t xml:space="preserve"> ska redovisas. Redovisningen ska göras relativt aktuella förbandsmålsättningar för insatsorganisationens utveckling. Försvarsmakten ska särskilt redovisa varför eventuellt befintlig materiel inte kan </w:t>
      </w:r>
      <w:r>
        <w:lastRenderedPageBreak/>
        <w:t>användas för att avhjälpa sådana brister. Eventuella brister ska sinsemellan rangordnas utifrån förbandens behov med utgångspunkt i regeringens krav på operativ förmåga.</w:t>
      </w:r>
    </w:p>
    <w:p w:rsidR="00720068" w:rsidRDefault="00720068" w:rsidP="002C3202"/>
    <w:p w:rsidR="00C95389" w:rsidRDefault="00C95389" w:rsidP="00720068"/>
    <w:p w:rsidR="00C95389" w:rsidRDefault="00C95389" w:rsidP="00720068"/>
    <w:p w:rsidR="00720068" w:rsidRDefault="00720068" w:rsidP="00720068">
      <w:r>
        <w:t>I fråga om beredskap ska myndigheten redovisa;</w:t>
      </w:r>
    </w:p>
    <w:p w:rsidR="00720068" w:rsidRDefault="00720068" w:rsidP="00720068">
      <w:proofErr w:type="gramStart"/>
      <w:r>
        <w:t>-</w:t>
      </w:r>
      <w:proofErr w:type="gramEnd"/>
      <w:r>
        <w:t xml:space="preserve"> dels beredskap svarande mot att huvuddelen av förbanden i insatsorganisationen 2014 normalt ska ha en beredskap som understiger tre månader,</w:t>
      </w:r>
    </w:p>
    <w:p w:rsidR="00720068" w:rsidRDefault="00720068" w:rsidP="00720068">
      <w:proofErr w:type="gramStart"/>
      <w:r>
        <w:t>-</w:t>
      </w:r>
      <w:proofErr w:type="gramEnd"/>
      <w:r>
        <w:t xml:space="preserve"> dels när krigsförbandet uppfyller krav på tillgänglighet vid beslut om höjd beredskap.</w:t>
      </w:r>
    </w:p>
    <w:p w:rsidR="00720068" w:rsidRDefault="00720068" w:rsidP="00720068"/>
    <w:p w:rsidR="00720068" w:rsidRDefault="00720068" w:rsidP="00720068">
      <w:r>
        <w:t>I fråga om förmåga ska myndigheten redovisa då hela eller väsentliga delar av krigsförband kan lösa huvudsakliga uppgifter enligt sina krigsförbandsspecifikationer.</w:t>
      </w:r>
    </w:p>
    <w:p w:rsidR="002C3202" w:rsidRDefault="002C3202" w:rsidP="002C3202"/>
    <w:p w:rsidR="002C3202" w:rsidRDefault="002C3202" w:rsidP="002C3202">
      <w:r>
        <w:t xml:space="preserve">I budgetunderlaget ska Försvarsmakten redovisa krigsförbandens prognostiserade utveckling för åren 2012, 2013 och 2014. Redovisningen ska göras </w:t>
      </w:r>
      <w:proofErr w:type="spellStart"/>
      <w:r>
        <w:t>förbandsvis</w:t>
      </w:r>
      <w:proofErr w:type="spellEnd"/>
      <w:r>
        <w:t xml:space="preserve"> i enlighet med tabellen ovan och relateras till målsättningarna i IO 14. Avvikelser ska redovisas särskilt. </w:t>
      </w:r>
    </w:p>
    <w:p w:rsidR="002C3202" w:rsidRDefault="002C3202" w:rsidP="002C3202"/>
    <w:p w:rsidR="002C3202" w:rsidRDefault="002C3202" w:rsidP="002C3202">
      <w:r>
        <w:t>I årsredovisningen ska Försvarsmakten redovisa resultatet av årets verksamhet i enlighet med tabellen ovan. Verksamheten ska jämföras m</w:t>
      </w:r>
      <w:r w:rsidR="00720068">
        <w:t>ed</w:t>
      </w:r>
      <w:r>
        <w:t xml:space="preserve"> aktuella krigsförbandsspecifikationer varför även en sammanställning av dessa specifikationer ska ingå i årsredovisningen. Med utgångspunkt från de brister och avvikelser Försvarsmakten redovisat i årsredovisningen ska myndigheten redovisa planerade åtgärder samt när dessa beräknas ge effekt. Myndigheten ska vidare motivera den prioriteringsordning i vilken brister och avvikelser är avsedd att hanteras. </w:t>
      </w:r>
    </w:p>
    <w:p w:rsidR="002C3202" w:rsidRDefault="002C3202" w:rsidP="002C3202">
      <w:pPr>
        <w:pStyle w:val="Rubrik3"/>
      </w:pPr>
      <w:r>
        <w:t>3. Personalförsörjning</w:t>
      </w:r>
    </w:p>
    <w:p w:rsidR="002C3202" w:rsidRPr="009D70F1" w:rsidRDefault="002C3202" w:rsidP="002C3202">
      <w:pPr>
        <w:rPr>
          <w:i/>
        </w:rPr>
      </w:pPr>
      <w:r w:rsidRPr="009D70F1">
        <w:rPr>
          <w:i/>
        </w:rPr>
        <w:t>A. Personalutvecklingen i stort</w:t>
      </w:r>
    </w:p>
    <w:p w:rsidR="002C3202" w:rsidRDefault="002C3202" w:rsidP="002C3202">
      <w:r>
        <w:t xml:space="preserve">Försvarsmakten ska i årsredovisning, delårsrapport och kvartalsrapporter redovisa såväl sin prognos för </w:t>
      </w:r>
      <w:proofErr w:type="spellStart"/>
      <w:r>
        <w:t>uppfyllnaden</w:t>
      </w:r>
      <w:proofErr w:type="spellEnd"/>
      <w:r>
        <w:t xml:space="preserve"> av planeringen som faktiskt antal individer. Personalbrister inom särskilda funktioner eller kompetensområden ska därutöver redovisas. Här avses i första hand s.k. nyckelkategorier, t.ex. tekniker, sjukvårdspersonal eller stabsofficerare. </w:t>
      </w:r>
    </w:p>
    <w:p w:rsidR="002C3202" w:rsidRDefault="002C3202" w:rsidP="002C3202"/>
    <w:p w:rsidR="002C3202" w:rsidRPr="009F3F8D" w:rsidRDefault="002C3202" w:rsidP="002C3202">
      <w:r w:rsidRPr="009F3F8D">
        <w:t>Försvarsmakten ska vidare, för respektive verksamhetsställe, redovisa andel personal i insatsorganisationen respektive stödorganisationen.</w:t>
      </w:r>
    </w:p>
    <w:p w:rsidR="002C3202" w:rsidRPr="009D70F1" w:rsidRDefault="002C3202" w:rsidP="002C3202">
      <w:pPr>
        <w:rPr>
          <w:i/>
        </w:rPr>
      </w:pPr>
    </w:p>
    <w:p w:rsidR="002C3202" w:rsidRPr="009D70F1" w:rsidRDefault="00B97FAE" w:rsidP="002C3202">
      <w:pPr>
        <w:rPr>
          <w:i/>
        </w:rPr>
      </w:pPr>
      <w:r>
        <w:rPr>
          <w:i/>
        </w:rPr>
        <w:t>B</w:t>
      </w:r>
      <w:r w:rsidR="002C3202" w:rsidRPr="009D70F1">
        <w:rPr>
          <w:i/>
        </w:rPr>
        <w:t>. Omstrukturering av officerskåren</w:t>
      </w:r>
    </w:p>
    <w:p w:rsidR="002C3202" w:rsidRDefault="002C3202" w:rsidP="002C3202">
      <w:r>
        <w:t>Försvarsmakten ska redovisa resultatet av omstruktureringen av officerskåren. Redovisningen ska minst omfatta utfall av planerade personalförändringar inom officersområdet, exempelvis antal officerare som lämnar FM av oli</w:t>
      </w:r>
      <w:r w:rsidR="000E782A">
        <w:t xml:space="preserve">ka skäl, antal som övergår till </w:t>
      </w:r>
      <w:r>
        <w:t>specialist</w:t>
      </w:r>
      <w:r w:rsidR="000E782A">
        <w:t>-</w:t>
      </w:r>
      <w:r>
        <w:t>officersbefattning, vakanser och nyrekrytering, åldersstruktur, mm. Försvarsmakten ska särskilt redovisa hur officerskårens sammansättning anpassas till krigsförbandens faktiska behov.</w:t>
      </w:r>
    </w:p>
    <w:p w:rsidR="002C3202" w:rsidRDefault="002C3202" w:rsidP="002C3202"/>
    <w:p w:rsidR="002C3202" w:rsidRPr="009D70F1" w:rsidRDefault="00B97FAE" w:rsidP="002C3202">
      <w:pPr>
        <w:rPr>
          <w:i/>
        </w:rPr>
      </w:pPr>
      <w:r>
        <w:rPr>
          <w:i/>
        </w:rPr>
        <w:t>C</w:t>
      </w:r>
      <w:r w:rsidR="002C3202" w:rsidRPr="009D70F1">
        <w:rPr>
          <w:i/>
        </w:rPr>
        <w:t>. Rekrytering till hemvärnet med de nationella skyddsstyrkorna</w:t>
      </w:r>
    </w:p>
    <w:p w:rsidR="000E782A" w:rsidRDefault="002C3202" w:rsidP="002C3202">
      <w:r>
        <w:t xml:space="preserve">Försvarsmakten ska redovisa det totala antalet personer som har rekryterats till hemvärnet </w:t>
      </w:r>
    </w:p>
    <w:p w:rsidR="000E782A" w:rsidRDefault="002C3202" w:rsidP="002C3202">
      <w:r>
        <w:t xml:space="preserve">1.) från övriga förband, </w:t>
      </w:r>
    </w:p>
    <w:p w:rsidR="000E782A" w:rsidRDefault="002C3202" w:rsidP="002C3202">
      <w:r>
        <w:t xml:space="preserve">2.) från gruppen tidigare värnpliktsutbildade, </w:t>
      </w:r>
    </w:p>
    <w:p w:rsidR="000E782A" w:rsidRDefault="002C3202" w:rsidP="002C3202">
      <w:r>
        <w:t xml:space="preserve">3.) från grundläggande militär utbildning och </w:t>
      </w:r>
    </w:p>
    <w:p w:rsidR="006A2D09" w:rsidRDefault="002C3202" w:rsidP="002C3202">
      <w:r>
        <w:t xml:space="preserve">4.) från de frivilliga försvarsorganisationerna. </w:t>
      </w:r>
    </w:p>
    <w:p w:rsidR="006A2D09" w:rsidRDefault="006A2D09" w:rsidP="006A2D09"/>
    <w:p w:rsidR="006A2D09" w:rsidRDefault="006A2D09" w:rsidP="002C3202"/>
    <w:p w:rsidR="006A2D09" w:rsidRDefault="006A2D09" w:rsidP="002C3202"/>
    <w:p w:rsidR="006A2D09" w:rsidRDefault="006A2D09" w:rsidP="002C3202"/>
    <w:p w:rsidR="006E0AD1" w:rsidRDefault="006E0AD1"/>
    <w:sectPr w:rsidR="006E0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B0" w:rsidRDefault="00CD5EB0">
      <w:r>
        <w:separator/>
      </w:r>
    </w:p>
  </w:endnote>
  <w:endnote w:type="continuationSeparator" w:id="0">
    <w:p w:rsidR="00CD5EB0" w:rsidRDefault="00CD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B0" w:rsidRDefault="00CD5EB0">
      <w:r>
        <w:separator/>
      </w:r>
    </w:p>
  </w:footnote>
  <w:footnote w:type="continuationSeparator" w:id="0">
    <w:p w:rsidR="00CD5EB0" w:rsidRDefault="00CD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89" w:rsidRPr="0049795F" w:rsidRDefault="00C95389">
    <w:pPr>
      <w:pStyle w:val="Sidhuvud"/>
    </w:pPr>
    <w:r w:rsidRPr="0049795F">
      <w:rPr>
        <w:strike/>
      </w:rPr>
      <w:t>2011-12-22</w:t>
    </w:r>
    <w:r w:rsidR="0049795F">
      <w:rPr>
        <w:strike/>
      </w:rPr>
      <w:t xml:space="preserve">   </w:t>
    </w:r>
    <w:r w:rsidR="0049795F">
      <w:t>2012-11-06</w:t>
    </w:r>
  </w:p>
  <w:p w:rsidR="00C95389" w:rsidRDefault="00C95389">
    <w:pPr>
      <w:pStyle w:val="Sidhuvud"/>
    </w:pPr>
  </w:p>
  <w:p w:rsidR="00C95389" w:rsidRPr="00C95389" w:rsidRDefault="00C95389">
    <w:pPr>
      <w:pStyle w:val="Sidhuvud"/>
    </w:pPr>
    <w:r w:rsidRPr="00C95389">
      <w:t>Bilaga 2 till Försvarsmaktens regleringsbrev avseende budgetåret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02"/>
    <w:rsid w:val="00022186"/>
    <w:rsid w:val="000D50A3"/>
    <w:rsid w:val="000E782A"/>
    <w:rsid w:val="000F4CD7"/>
    <w:rsid w:val="001E69CE"/>
    <w:rsid w:val="001F38CB"/>
    <w:rsid w:val="0027378D"/>
    <w:rsid w:val="00276E1A"/>
    <w:rsid w:val="002824BE"/>
    <w:rsid w:val="002C3202"/>
    <w:rsid w:val="002C7982"/>
    <w:rsid w:val="002D1EC8"/>
    <w:rsid w:val="002E7A67"/>
    <w:rsid w:val="00361E3F"/>
    <w:rsid w:val="00461497"/>
    <w:rsid w:val="0049795F"/>
    <w:rsid w:val="004D0402"/>
    <w:rsid w:val="004D3887"/>
    <w:rsid w:val="00563C6F"/>
    <w:rsid w:val="005A789A"/>
    <w:rsid w:val="006A2D09"/>
    <w:rsid w:val="006E0AD1"/>
    <w:rsid w:val="00720068"/>
    <w:rsid w:val="00790114"/>
    <w:rsid w:val="007956D2"/>
    <w:rsid w:val="007B2284"/>
    <w:rsid w:val="00835789"/>
    <w:rsid w:val="008A18BF"/>
    <w:rsid w:val="008E6B77"/>
    <w:rsid w:val="008F35AF"/>
    <w:rsid w:val="009044E1"/>
    <w:rsid w:val="009571EF"/>
    <w:rsid w:val="00965BCD"/>
    <w:rsid w:val="009B7A7B"/>
    <w:rsid w:val="009F0963"/>
    <w:rsid w:val="00A67422"/>
    <w:rsid w:val="00B11B88"/>
    <w:rsid w:val="00B97FAE"/>
    <w:rsid w:val="00C03E43"/>
    <w:rsid w:val="00C759AA"/>
    <w:rsid w:val="00C95389"/>
    <w:rsid w:val="00CD5EB0"/>
    <w:rsid w:val="00DB416C"/>
    <w:rsid w:val="00E95B56"/>
    <w:rsid w:val="00F74DC5"/>
    <w:rsid w:val="00FB19B5"/>
    <w:rsid w:val="00FC395E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202"/>
    <w:rPr>
      <w:sz w:val="24"/>
      <w:szCs w:val="24"/>
    </w:rPr>
  </w:style>
  <w:style w:type="paragraph" w:styleId="Rubrik3">
    <w:name w:val="heading 3"/>
    <w:basedOn w:val="Normal"/>
    <w:next w:val="Normal"/>
    <w:qFormat/>
    <w:rsid w:val="002C32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2C3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Knormal">
    <w:name w:val="RKnormal"/>
    <w:basedOn w:val="Normal"/>
    <w:rsid w:val="002C3202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Ballongtext">
    <w:name w:val="Balloon Text"/>
    <w:basedOn w:val="Normal"/>
    <w:semiHidden/>
    <w:rsid w:val="009B7A7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C9538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95389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202"/>
    <w:rPr>
      <w:sz w:val="24"/>
      <w:szCs w:val="24"/>
    </w:rPr>
  </w:style>
  <w:style w:type="paragraph" w:styleId="Rubrik3">
    <w:name w:val="heading 3"/>
    <w:basedOn w:val="Normal"/>
    <w:next w:val="Normal"/>
    <w:qFormat/>
    <w:rsid w:val="002C32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2C3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Knormal">
    <w:name w:val="RKnormal"/>
    <w:basedOn w:val="Normal"/>
    <w:rsid w:val="002C3202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Ballongtext">
    <w:name w:val="Balloon Text"/>
    <w:basedOn w:val="Normal"/>
    <w:semiHidden/>
    <w:rsid w:val="009B7A7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C9538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9538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5E19-8F62-4727-B8CC-6CEBA4B5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2 till Försvarsmaktens regleringsbrev avseende budgetåret 2012</vt:lpstr>
    </vt:vector>
  </TitlesOfParts>
  <Company>Regeringskansliet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till Försvarsmaktens regleringsbrev avseende budgetåret 2012</dc:title>
  <dc:creator>Mathias Fredriksson</dc:creator>
  <cp:lastModifiedBy>Hanna J</cp:lastModifiedBy>
  <cp:revision>2</cp:revision>
  <cp:lastPrinted>2012-11-06T14:05:00Z</cp:lastPrinted>
  <dcterms:created xsi:type="dcterms:W3CDTF">2012-11-06T14:37:00Z</dcterms:created>
  <dcterms:modified xsi:type="dcterms:W3CDTF">2012-11-06T14:37:00Z</dcterms:modified>
</cp:coreProperties>
</file>