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4ACB" w14:textId="77777777" w:rsidR="009F07BC" w:rsidRDefault="009F07BC" w:rsidP="00813F9F">
      <w:pPr>
        <w:pStyle w:val="Rubrik3"/>
      </w:pPr>
    </w:p>
    <w:p w14:paraId="35984269" w14:textId="77777777" w:rsidR="00123D5B" w:rsidRDefault="00123D5B" w:rsidP="00123D5B">
      <w:pPr>
        <w:pStyle w:val="Rubrik3"/>
      </w:pPr>
      <w:r>
        <w:t>1</w:t>
      </w:r>
      <w:r w:rsidRPr="00E165AE">
        <w:t>. Insatsorganisationen</w:t>
      </w:r>
      <w:r w:rsidR="00652DB9">
        <w:t xml:space="preserve"> </w:t>
      </w:r>
    </w:p>
    <w:p w14:paraId="2D3888F1" w14:textId="77777777" w:rsidR="00123D5B" w:rsidRDefault="00123D5B" w:rsidP="00123D5B">
      <w:r>
        <w:t>Insatsorganisationens utveckling ska följas upp genom att varje krigsförband redovisas i enlighet med punkterna 1-5 nedan. Redovisningen ska relateras till krav på respektive förbands förmåga. Förbandens prognostiserade utveckling för åren 2014 - 2019 ska redovisas.</w:t>
      </w:r>
    </w:p>
    <w:p w14:paraId="6CEA545F" w14:textId="77777777" w:rsidR="00123D5B" w:rsidRDefault="00123D5B" w:rsidP="00123D5B"/>
    <w:p w14:paraId="74B3C402" w14:textId="77777777" w:rsidR="00123D5B" w:rsidRDefault="00123D5B" w:rsidP="00123D5B">
      <w:r>
        <w:t xml:space="preserve">I årsredovisningen ska Försvarsmakten redovisa resultatet av årets verksamhet i enlighet med punkterna 1-5. Med utgångspunkt från de eventuella brister och avvikelser Försvarsmakten redovisat i årsredovisningen ska myndigheten redovisa planerade åtgärder samt när dessa beräknas ge effekt. Myndigheten ska vidare motivera den prioriteringsordning, i vilken brister och avvikelser är avsedd att hanteras. </w:t>
      </w:r>
    </w:p>
    <w:p w14:paraId="2F73788A" w14:textId="77777777" w:rsidR="00123D5B" w:rsidRDefault="00123D5B" w:rsidP="00123D5B"/>
    <w:p w14:paraId="7BE40AB0" w14:textId="77777777" w:rsidR="00123D5B" w:rsidRDefault="00123D5B" w:rsidP="00123D5B">
      <w:r>
        <w:t xml:space="preserve">I budgetunderlaget ska Försvarsmakten redovisa krigsförbandens prognostiserade utveckling för åren 2014 - 2018 i enlighet med uppställningen nedan. </w:t>
      </w:r>
      <w:r w:rsidRPr="00B33F07">
        <w:t>Redovisningen ska omfatta:</w:t>
      </w:r>
    </w:p>
    <w:p w14:paraId="767B09DB" w14:textId="77777777" w:rsidR="00123D5B" w:rsidRPr="00B33F07" w:rsidRDefault="00123D5B" w:rsidP="00123D5B"/>
    <w:p w14:paraId="6936036D" w14:textId="77777777" w:rsidR="00123D5B" w:rsidRPr="004B2704" w:rsidRDefault="00123D5B" w:rsidP="00123D5B">
      <w:pPr>
        <w:rPr>
          <w:i/>
        </w:rPr>
      </w:pPr>
      <w:r w:rsidRPr="004B2704">
        <w:rPr>
          <w:i/>
        </w:rPr>
        <w:t>1. Insatsverksamhet</w:t>
      </w:r>
    </w:p>
    <w:p w14:paraId="582E69F4" w14:textId="77777777" w:rsidR="00123D5B" w:rsidRDefault="00123D5B" w:rsidP="00123D5B">
      <w:r>
        <w:t xml:space="preserve">Genomförda nationella och internationella insatser </w:t>
      </w:r>
      <w:r w:rsidR="001D1CBB">
        <w:t>samt</w:t>
      </w:r>
      <w:r>
        <w:t xml:space="preserve"> insatsberedskap. Försvarsmakten ska redovisa hur </w:t>
      </w:r>
      <w:r w:rsidR="001D1CBB">
        <w:t xml:space="preserve">genomförda </w:t>
      </w:r>
      <w:r>
        <w:t>insatser har bidragit till förmågeutveckling.</w:t>
      </w:r>
    </w:p>
    <w:p w14:paraId="07A38B10" w14:textId="77777777" w:rsidR="00123D5B" w:rsidRPr="004B2704" w:rsidRDefault="00123D5B" w:rsidP="00123D5B">
      <w:pPr>
        <w:rPr>
          <w:i/>
        </w:rPr>
      </w:pPr>
    </w:p>
    <w:p w14:paraId="281A9AFD" w14:textId="77777777" w:rsidR="00123D5B" w:rsidRPr="004B2704" w:rsidRDefault="00123D5B" w:rsidP="00123D5B">
      <w:pPr>
        <w:rPr>
          <w:i/>
        </w:rPr>
      </w:pPr>
      <w:r w:rsidRPr="004B2704">
        <w:rPr>
          <w:i/>
        </w:rPr>
        <w:t>2. Övningsverksamhet</w:t>
      </w:r>
    </w:p>
    <w:p w14:paraId="1FB89BE7" w14:textId="5BA5C6F9" w:rsidR="00123D5B" w:rsidRDefault="00123D5B" w:rsidP="00123D5B">
      <w:r>
        <w:t xml:space="preserve">Genomförda respektive planerade nationella och internationella övningar ska redovisas. Vad gäller nationella övningar ska redovisningen endast inkludera sådana övningar som myndigheten bedömer har haft eller kommer att ha avsevärd inverkan på förmågan hos krigsförbanden. Hur övningen har påverkat eller kommer att påverka förmågan ska också redovisas. Av redovisningen ska framgå om hela eller vilken del av förbandet som övas.  </w:t>
      </w:r>
    </w:p>
    <w:p w14:paraId="0841A50B" w14:textId="77777777" w:rsidR="00123D5B" w:rsidRDefault="00123D5B" w:rsidP="00123D5B"/>
    <w:p w14:paraId="59654C58" w14:textId="77777777" w:rsidR="00123D5B" w:rsidRPr="00C13B8B" w:rsidRDefault="00123D5B" w:rsidP="00123D5B">
      <w:pPr>
        <w:rPr>
          <w:i/>
        </w:rPr>
      </w:pPr>
      <w:r w:rsidRPr="00C13B8B">
        <w:rPr>
          <w:i/>
        </w:rPr>
        <w:t>3. Personal</w:t>
      </w:r>
    </w:p>
    <w:p w14:paraId="1E2EB266"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Uppfyllnaden av krigsplacerad personal per krigsförband uppdelat på kategorierna;</w:t>
      </w:r>
    </w:p>
    <w:p w14:paraId="007EB226"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officerare,</w:t>
      </w:r>
    </w:p>
    <w:p w14:paraId="17850D09"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specialistofficerare,</w:t>
      </w:r>
    </w:p>
    <w:p w14:paraId="6651D2B5"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reservofficerare,</w:t>
      </w:r>
    </w:p>
    <w:p w14:paraId="6C0D572F"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kontinuerligt tjänstgörande gruppbefäl, soldater och sjömän,</w:t>
      </w:r>
    </w:p>
    <w:p w14:paraId="56D69E1C"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tidvis tjänstgörande gruppbefäl, soldater och sjömän,</w:t>
      </w:r>
    </w:p>
    <w:p w14:paraId="027C7191"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totalförsvarspliktig personal samt</w:t>
      </w:r>
    </w:p>
    <w:p w14:paraId="7B1D6F89"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r w:rsidRPr="00C13B8B">
        <w:rPr>
          <w:szCs w:val="20"/>
          <w:lang w:eastAsia="en-US"/>
        </w:rPr>
        <w:t>- övriga.</w:t>
      </w:r>
    </w:p>
    <w:p w14:paraId="334CCCE4" w14:textId="77777777" w:rsidR="00C13B8B" w:rsidRPr="00C13B8B" w:rsidRDefault="00C13B8B" w:rsidP="00C13B8B">
      <w:pPr>
        <w:tabs>
          <w:tab w:val="left" w:pos="709"/>
          <w:tab w:val="left" w:pos="2835"/>
        </w:tabs>
        <w:overflowPunct w:val="0"/>
        <w:autoSpaceDE w:val="0"/>
        <w:autoSpaceDN w:val="0"/>
        <w:adjustRightInd w:val="0"/>
        <w:spacing w:line="240" w:lineRule="atLeast"/>
        <w:textAlignment w:val="baseline"/>
        <w:rPr>
          <w:szCs w:val="20"/>
          <w:lang w:eastAsia="en-US"/>
        </w:rPr>
      </w:pPr>
    </w:p>
    <w:p w14:paraId="245D0372" w14:textId="614DD00E" w:rsidR="00B35682" w:rsidRDefault="00C13B8B" w:rsidP="00B35682">
      <w:pPr>
        <w:rPr>
          <w:szCs w:val="20"/>
          <w:lang w:eastAsia="en-US"/>
        </w:rPr>
      </w:pPr>
      <w:r w:rsidRPr="00C13B8B">
        <w:rPr>
          <w:szCs w:val="20"/>
          <w:lang w:eastAsia="en-US"/>
        </w:rPr>
        <w:t xml:space="preserve">Redovisningen ska omfatta nuläge, målsättning för kommande år intill dess full uppfyllnad </w:t>
      </w:r>
      <w:r w:rsidR="001D1CBB">
        <w:rPr>
          <w:szCs w:val="20"/>
          <w:lang w:eastAsia="en-US"/>
        </w:rPr>
        <w:t xml:space="preserve">med frivillig personal </w:t>
      </w:r>
      <w:r w:rsidRPr="00C13B8B">
        <w:rPr>
          <w:szCs w:val="20"/>
          <w:lang w:eastAsia="en-US"/>
        </w:rPr>
        <w:t xml:space="preserve">nåtts samt antal vid full uppfyllnad. I redovisningen av hemvärnsförbanden ska även hemvärnsbevakningssoldater, hemvärnsinsatssoldater samt frivilligpersonal omfattas. Åtgärder för att komma tillrätta med svårigheter att rekrytera specialistkompetenser ska redovisas. </w:t>
      </w:r>
      <w:r w:rsidR="00B35682" w:rsidRPr="00C13B8B">
        <w:rPr>
          <w:szCs w:val="20"/>
          <w:lang w:eastAsia="en-US"/>
        </w:rPr>
        <w:t xml:space="preserve">Målsättningar för full uppfyllnad </w:t>
      </w:r>
      <w:r w:rsidR="00B35682" w:rsidRPr="00C13B8B">
        <w:rPr>
          <w:szCs w:val="20"/>
          <w:lang w:eastAsia="en-US"/>
        </w:rPr>
        <w:t xml:space="preserve">får utgöras av myndighetens personalramar per krigsförband, men </w:t>
      </w:r>
      <w:r w:rsidR="00B35682" w:rsidRPr="00C13B8B">
        <w:rPr>
          <w:szCs w:val="20"/>
          <w:lang w:eastAsia="en-US"/>
        </w:rPr>
        <w:t xml:space="preserve">ska ackumulerat för insatsorganisation 2014 som helhet och tillhörande basorganisation överensstämma med myndighetens totala personalbehov enligt uppdrag </w:t>
      </w:r>
      <w:r w:rsidR="00A30359">
        <w:rPr>
          <w:szCs w:val="20"/>
          <w:lang w:eastAsia="en-US"/>
        </w:rPr>
        <w:t>21</w:t>
      </w:r>
      <w:r w:rsidR="00B35682" w:rsidRPr="00C13B8B">
        <w:rPr>
          <w:szCs w:val="20"/>
          <w:lang w:eastAsia="en-US"/>
        </w:rPr>
        <w:t>.</w:t>
      </w:r>
      <w:r w:rsidR="00B35682">
        <w:rPr>
          <w:szCs w:val="20"/>
          <w:lang w:eastAsia="en-US"/>
        </w:rPr>
        <w:t xml:space="preserve"> </w:t>
      </w:r>
      <w:r w:rsidR="00A30359">
        <w:rPr>
          <w:szCs w:val="20"/>
          <w:lang w:eastAsia="en-US"/>
        </w:rPr>
        <w:t xml:space="preserve"> </w:t>
      </w:r>
    </w:p>
    <w:p w14:paraId="1F5A043B" w14:textId="77777777" w:rsidR="00B35682" w:rsidRDefault="00B35682" w:rsidP="00B35682">
      <w:pPr>
        <w:rPr>
          <w:szCs w:val="20"/>
          <w:lang w:eastAsia="en-US"/>
        </w:rPr>
      </w:pPr>
    </w:p>
    <w:p w14:paraId="5B6120C7" w14:textId="77777777" w:rsidR="00B35682" w:rsidRDefault="00B35682" w:rsidP="00B35682">
      <w:pPr>
        <w:rPr>
          <w:szCs w:val="20"/>
          <w:lang w:eastAsia="en-US"/>
        </w:rPr>
      </w:pPr>
      <w:r>
        <w:rPr>
          <w:szCs w:val="20"/>
          <w:lang w:eastAsia="en-US"/>
        </w:rPr>
        <w:t>Redovisningen i budgetunderlaget enligt ovan avseende personal per krigsförband får kompletteras senast den 30 maj 2014.</w:t>
      </w:r>
    </w:p>
    <w:p w14:paraId="383347DD" w14:textId="77777777" w:rsidR="00C13B8B" w:rsidRDefault="00C13B8B" w:rsidP="00123D5B"/>
    <w:p w14:paraId="2258AD66" w14:textId="77777777" w:rsidR="00123D5B" w:rsidRPr="004B2704" w:rsidRDefault="00123D5B" w:rsidP="00123D5B">
      <w:pPr>
        <w:rPr>
          <w:i/>
        </w:rPr>
      </w:pPr>
      <w:r w:rsidRPr="004B2704">
        <w:rPr>
          <w:i/>
        </w:rPr>
        <w:lastRenderedPageBreak/>
        <w:t>4. Materiel</w:t>
      </w:r>
    </w:p>
    <w:p w14:paraId="3F00D9CD" w14:textId="08934DDA" w:rsidR="00123D5B" w:rsidRDefault="00123D5B" w:rsidP="00123D5B">
      <w:r>
        <w:t>Myndighetens redovisning ska omfatta materiel som är av väsentlig betydelse för krigsförbandens förmåga samt vilken viktigare materiel, inklusive modifiering, som tillförts respektive planeras att tillföras</w:t>
      </w:r>
      <w:r w:rsidR="00A30359">
        <w:t xml:space="preserve"> under året</w:t>
      </w:r>
      <w:r>
        <w:t xml:space="preserve">. Den tillförda materielens påverkan på förmågan ska redovisas. Myndigheten ska vidare redovisa större materiella </w:t>
      </w:r>
      <w:r>
        <w:t>brister</w:t>
      </w:r>
      <w:r w:rsidR="00ED7E67">
        <w:t xml:space="preserve"> avseende den materiel som är inplanerad inom ram</w:t>
      </w:r>
      <w:r>
        <w:t xml:space="preserve"> och hur dessa inverkar på </w:t>
      </w:r>
      <w:r>
        <w:t xml:space="preserve">krigsförbandets förmåga. Försvarsmakten ska redovisa planerade och genomförda åtgärder för att avhjälpa de identifierade bristerna. </w:t>
      </w:r>
    </w:p>
    <w:p w14:paraId="1EB06CB5" w14:textId="77777777" w:rsidR="00123D5B" w:rsidRDefault="00123D5B" w:rsidP="00123D5B"/>
    <w:p w14:paraId="7147306C" w14:textId="77777777" w:rsidR="00123D5B" w:rsidRPr="004B2704" w:rsidRDefault="00123D5B" w:rsidP="00123D5B">
      <w:pPr>
        <w:rPr>
          <w:i/>
        </w:rPr>
      </w:pPr>
      <w:r w:rsidRPr="004B2704">
        <w:rPr>
          <w:i/>
        </w:rPr>
        <w:t>5. Beredskap</w:t>
      </w:r>
    </w:p>
    <w:p w14:paraId="531982D0" w14:textId="77777777" w:rsidR="00123D5B" w:rsidRDefault="00123D5B" w:rsidP="00123D5B">
      <w:r>
        <w:t xml:space="preserve">Myndigheten ska redovisa genomförd och planerad beredskap för respektive krigsförband </w:t>
      </w:r>
      <w:r w:rsidR="001D1CBB">
        <w:t xml:space="preserve">avseende huvuduppgifter </w:t>
      </w:r>
      <w:r>
        <w:t>samt när krigsförbanden uppfyller krav på tillgänglighet vid beslut om höjd beredskap.</w:t>
      </w:r>
    </w:p>
    <w:p w14:paraId="14BC4ED7" w14:textId="77777777" w:rsidR="00123D5B" w:rsidRPr="00122E1E" w:rsidRDefault="00123D5B" w:rsidP="00123D5B">
      <w:pPr>
        <w:rPr>
          <w:i/>
          <w:sz w:val="20"/>
          <w:szCs w:val="20"/>
        </w:rPr>
      </w:pPr>
    </w:p>
    <w:p w14:paraId="17294974" w14:textId="77777777" w:rsidR="00B97D17" w:rsidRPr="00813F9F" w:rsidRDefault="00123D5B" w:rsidP="00813F9F">
      <w:pPr>
        <w:pStyle w:val="Rubrik3"/>
      </w:pPr>
      <w:r>
        <w:t>2</w:t>
      </w:r>
      <w:r w:rsidR="00813F9F">
        <w:t>.</w:t>
      </w:r>
      <w:r w:rsidR="00B97D17" w:rsidRPr="00813F9F">
        <w:t>Ekonomi</w:t>
      </w:r>
    </w:p>
    <w:p w14:paraId="25F39539" w14:textId="77777777" w:rsidR="00B97D17" w:rsidRPr="008E69FB" w:rsidRDefault="00B97D17" w:rsidP="00B97D17">
      <w:pPr>
        <w:rPr>
          <w:b/>
          <w:i/>
        </w:rPr>
      </w:pPr>
      <w:r w:rsidRPr="009F07BC">
        <w:rPr>
          <w:b/>
        </w:rPr>
        <w:t>Rationaliseringar och överföringar</w:t>
      </w:r>
      <w:r w:rsidRPr="00813F9F">
        <w:rPr>
          <w:b/>
        </w:rPr>
        <w:t xml:space="preserve"> </w:t>
      </w:r>
    </w:p>
    <w:p w14:paraId="0CB07A63" w14:textId="77777777" w:rsidR="00B97D17" w:rsidRDefault="00B97D17" w:rsidP="00B97D17">
      <w:pPr>
        <w:numPr>
          <w:ilvl w:val="0"/>
          <w:numId w:val="3"/>
        </w:numPr>
      </w:pPr>
      <w:r>
        <w:t xml:space="preserve">Försvarsmakten ska </w:t>
      </w:r>
      <w:r w:rsidR="00116FC4">
        <w:t xml:space="preserve">i årsredovisningen </w:t>
      </w:r>
      <w:r>
        <w:t xml:space="preserve">redovisa vilken omfördelning av medel som </w:t>
      </w:r>
      <w:r w:rsidR="00813F9F">
        <w:t xml:space="preserve">under 2013 </w:t>
      </w:r>
      <w:r>
        <w:t>skett</w:t>
      </w:r>
      <w:r>
        <w:rPr>
          <w:i/>
        </w:rPr>
        <w:t xml:space="preserve"> </w:t>
      </w:r>
      <w:r>
        <w:t xml:space="preserve">från så kallad stödverksamhet till operativ verksamhet. Redovisningen ska omfatta minskningar och ökningar inom olika kostnadsslag. Redovisningen ska vidare beskriva hur de avgifter som Försvarsmakten betalar till de s.k. stödmyndigheterna </w:t>
      </w:r>
      <w:r w:rsidRPr="00B97FAE">
        <w:t>har förändrats</w:t>
      </w:r>
      <w:r>
        <w:t>.</w:t>
      </w:r>
    </w:p>
    <w:p w14:paraId="6953D0CC" w14:textId="77777777" w:rsidR="00B97D17" w:rsidRDefault="00B97D17" w:rsidP="00B97D17">
      <w:pPr>
        <w:numPr>
          <w:ilvl w:val="0"/>
          <w:numId w:val="3"/>
        </w:numPr>
      </w:pPr>
      <w:r>
        <w:t xml:space="preserve">Därutöver ska Försvarsmakten </w:t>
      </w:r>
      <w:r w:rsidR="00116FC4">
        <w:t xml:space="preserve">i årsredovisningen </w:t>
      </w:r>
      <w:r>
        <w:t xml:space="preserve">redovisa kostnader förknippade med förbandsreserven </w:t>
      </w:r>
      <w:r w:rsidR="00175A46">
        <w:t>uppdelat per anslag.</w:t>
      </w:r>
    </w:p>
    <w:p w14:paraId="4F7E2216" w14:textId="77777777" w:rsidR="00B97D17" w:rsidRDefault="00B97D17" w:rsidP="00813F9F">
      <w:pPr>
        <w:ind w:left="720"/>
      </w:pPr>
    </w:p>
    <w:p w14:paraId="34EE8920" w14:textId="77777777" w:rsidR="00B97D17" w:rsidRPr="00B104CF" w:rsidRDefault="00B97D17" w:rsidP="00813F9F">
      <w:pPr>
        <w:rPr>
          <w:b/>
          <w:i/>
        </w:rPr>
      </w:pPr>
      <w:r>
        <w:rPr>
          <w:b/>
        </w:rPr>
        <w:t>Övningsverksamhet</w:t>
      </w:r>
      <w:r>
        <w:rPr>
          <w:b/>
          <w:i/>
        </w:rPr>
        <w:t xml:space="preserve"> </w:t>
      </w:r>
    </w:p>
    <w:p w14:paraId="3E0F5004" w14:textId="77777777" w:rsidR="00B97D17" w:rsidRDefault="00B97D17" w:rsidP="00B97D17">
      <w:pPr>
        <w:numPr>
          <w:ilvl w:val="0"/>
          <w:numId w:val="3"/>
        </w:numPr>
      </w:pPr>
      <w:r>
        <w:t xml:space="preserve">Försvarsmakten ska i </w:t>
      </w:r>
      <w:r w:rsidR="00C60A15">
        <w:t>årsredovisningen för 2013</w:t>
      </w:r>
      <w:r>
        <w:t xml:space="preserve"> redovisa hur stor del av anslag 1.1 </w:t>
      </w:r>
      <w:r w:rsidRPr="005E4849">
        <w:rPr>
          <w:i/>
        </w:rPr>
        <w:t>Förbandsverksamhet och beredskap</w:t>
      </w:r>
      <w:r>
        <w:t>, undantaget lönekostnader</w:t>
      </w:r>
      <w:r>
        <w:rPr>
          <w:rStyle w:val="Fotnotsreferens"/>
        </w:rPr>
        <w:footnoteReference w:id="2"/>
      </w:r>
      <w:r>
        <w:t xml:space="preserve">, som </w:t>
      </w:r>
      <w:r w:rsidR="00116FC4">
        <w:t>avser</w:t>
      </w:r>
      <w:r w:rsidR="00813F9F">
        <w:t xml:space="preserve"> </w:t>
      </w:r>
      <w:r>
        <w:t>övningsverksamhet</w:t>
      </w:r>
      <w:r w:rsidR="00813F9F">
        <w:t xml:space="preserve"> </w:t>
      </w:r>
      <w:r>
        <w:t xml:space="preserve">2013 samt </w:t>
      </w:r>
      <w:r w:rsidR="00C60A15">
        <w:t xml:space="preserve">i budgetunderlaget för 2015 redovisa </w:t>
      </w:r>
      <w:r>
        <w:t xml:space="preserve">hur </w:t>
      </w:r>
      <w:r w:rsidR="00813F9F">
        <w:t xml:space="preserve">denna del planeras utvecklas </w:t>
      </w:r>
      <w:r>
        <w:t>2014-201</w:t>
      </w:r>
      <w:r w:rsidR="003277A3">
        <w:t>9</w:t>
      </w:r>
      <w:r>
        <w:t>.</w:t>
      </w:r>
    </w:p>
    <w:p w14:paraId="6C7D768D" w14:textId="236426B0" w:rsidR="00B97D17" w:rsidRDefault="00B97D17" w:rsidP="00B97D17">
      <w:pPr>
        <w:numPr>
          <w:ilvl w:val="0"/>
          <w:numId w:val="3"/>
        </w:numPr>
      </w:pPr>
      <w:r>
        <w:t xml:space="preserve">Myndigheten ska vidare särskilt </w:t>
      </w:r>
      <w:r w:rsidR="00813F9F">
        <w:t>redovisa</w:t>
      </w:r>
      <w:r>
        <w:t xml:space="preserve"> hur de medel som från år 2014 </w:t>
      </w:r>
      <w:r w:rsidR="00813F9F">
        <w:t xml:space="preserve">tillförs </w:t>
      </w:r>
      <w:r>
        <w:t xml:space="preserve">anslag 1.1 </w:t>
      </w:r>
      <w:r>
        <w:rPr>
          <w:i/>
        </w:rPr>
        <w:t>F</w:t>
      </w:r>
      <w:r w:rsidRPr="00C575F0">
        <w:rPr>
          <w:i/>
        </w:rPr>
        <w:t>örbandsverksamhet och beredskap</w:t>
      </w:r>
      <w:r w:rsidR="003A113D" w:rsidRPr="003A113D">
        <w:t xml:space="preserve"> </w:t>
      </w:r>
      <w:r w:rsidR="003A113D">
        <w:t>används för att öka övningsverksamhet samt antal rekryterade och anställda</w:t>
      </w:r>
      <w:r>
        <w:t>.</w:t>
      </w:r>
      <w:r w:rsidR="00ED7E67">
        <w:t xml:space="preserve"> </w:t>
      </w:r>
      <w:r w:rsidR="00ED7E67">
        <w:t xml:space="preserve">Inom ramen för detta ska myndigheten särskilt redovisa de vidtagna åtgärdernas effekt </w:t>
      </w:r>
      <w:r w:rsidR="005C1C21">
        <w:t xml:space="preserve">avseende att </w:t>
      </w:r>
      <w:r w:rsidR="00ED7E67">
        <w:t>rekrytera, utbilda och behålla tidvis tjänstgörande personal.</w:t>
      </w:r>
    </w:p>
    <w:p w14:paraId="2439FBE8" w14:textId="77777777" w:rsidR="008F2989" w:rsidRDefault="008F2989" w:rsidP="008F2989">
      <w:pPr>
        <w:ind w:left="720"/>
      </w:pPr>
    </w:p>
    <w:p w14:paraId="5F81B059" w14:textId="77777777" w:rsidR="003662F8" w:rsidRDefault="00C60A15" w:rsidP="003662F8">
      <w:pPr>
        <w:rPr>
          <w:b/>
        </w:rPr>
      </w:pPr>
      <w:r>
        <w:rPr>
          <w:b/>
        </w:rPr>
        <w:t>Krigsförbandens</w:t>
      </w:r>
      <w:r w:rsidR="00652DB9">
        <w:rPr>
          <w:b/>
        </w:rPr>
        <w:t xml:space="preserve"> </w:t>
      </w:r>
      <w:r w:rsidR="003662F8">
        <w:rPr>
          <w:b/>
        </w:rPr>
        <w:t>anslagsbelastning</w:t>
      </w:r>
    </w:p>
    <w:p w14:paraId="0D572199" w14:textId="471B03B6" w:rsidR="003662F8" w:rsidRDefault="003662F8" w:rsidP="003662F8">
      <w:pPr>
        <w:numPr>
          <w:ilvl w:val="0"/>
          <w:numId w:val="3"/>
        </w:numPr>
      </w:pPr>
      <w:r w:rsidRPr="008F2989">
        <w:t>Försvarsmakten ska</w:t>
      </w:r>
      <w:r>
        <w:t xml:space="preserve"> i budgetunderlag för 2015 redovisa planerad anslagsbelastning per </w:t>
      </w:r>
      <w:r w:rsidR="00C60A15">
        <w:t>krigsförband</w:t>
      </w:r>
      <w:r w:rsidR="00652DB9">
        <w:t xml:space="preserve"> </w:t>
      </w:r>
      <w:r w:rsidR="00791BB2">
        <w:t>för de kommande tre åren</w:t>
      </w:r>
      <w:r>
        <w:t xml:space="preserve">. Redovisningen ska ske per anslag och nedbrutet </w:t>
      </w:r>
      <w:r w:rsidR="00C60A15">
        <w:t xml:space="preserve">i enlighet med rubriknivån i </w:t>
      </w:r>
      <w:r>
        <w:t>F</w:t>
      </w:r>
      <w:r w:rsidR="00CE1655">
        <w:t>örsva</w:t>
      </w:r>
      <w:r w:rsidR="00C60A15">
        <w:t>rsmaktens ekonomimodell (FEM). Hemvärnsförband red</w:t>
      </w:r>
      <w:r w:rsidR="003A6C3F">
        <w:t xml:space="preserve">ovisas på produktgruppsnivå. </w:t>
      </w:r>
      <w:r>
        <w:t>Eventuella intäkter för krigsförbanden ska redovisas</w:t>
      </w:r>
      <w:r w:rsidR="00175A46">
        <w:t xml:space="preserve"> separat</w:t>
      </w:r>
      <w:r>
        <w:t>. Av redovisningen ska framgå direkta kostnader</w:t>
      </w:r>
      <w:r w:rsidR="00652DB9">
        <w:t xml:space="preserve"> och i förekommande fall</w:t>
      </w:r>
      <w:r>
        <w:t xml:space="preserve"> lokal overhead</w:t>
      </w:r>
      <w:r w:rsidR="00ED7E67">
        <w:t xml:space="preserve"> </w:t>
      </w:r>
      <w:r w:rsidR="00ED7E67">
        <w:t>per krigsförband</w:t>
      </w:r>
      <w:r>
        <w:t>.</w:t>
      </w:r>
      <w:r w:rsidR="00ED7E67">
        <w:t xml:space="preserve"> </w:t>
      </w:r>
    </w:p>
    <w:p w14:paraId="62B0A732" w14:textId="77777777" w:rsidR="00257CB1" w:rsidRDefault="00175A46" w:rsidP="00257CB1">
      <w:pPr>
        <w:numPr>
          <w:ilvl w:val="0"/>
          <w:numId w:val="3"/>
        </w:numPr>
      </w:pPr>
      <w:r>
        <w:t>Försvarsmakten ska i</w:t>
      </w:r>
      <w:r w:rsidR="003662F8">
        <w:t xml:space="preserve"> årsredovisningen redovisa det ekonomiska utfallet per</w:t>
      </w:r>
      <w:r w:rsidR="00791BB2">
        <w:t xml:space="preserve"> krigsförband på samma sätt som specificeras ovan.</w:t>
      </w:r>
    </w:p>
    <w:sectPr w:rsidR="00257CB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49229" w14:textId="77777777" w:rsidR="000D1E5E" w:rsidRDefault="000D1E5E">
      <w:r>
        <w:separator/>
      </w:r>
    </w:p>
  </w:endnote>
  <w:endnote w:type="continuationSeparator" w:id="0">
    <w:p w14:paraId="486DD11B" w14:textId="77777777" w:rsidR="000D1E5E" w:rsidRDefault="000D1E5E">
      <w:r>
        <w:continuationSeparator/>
      </w:r>
    </w:p>
  </w:endnote>
  <w:endnote w:type="continuationNotice" w:id="1">
    <w:p w14:paraId="211207EA" w14:textId="77777777" w:rsidR="000D1E5E" w:rsidRDefault="000D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4F4A" w14:textId="77777777" w:rsidR="006E0368" w:rsidRDefault="006E03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0572" w14:textId="77777777" w:rsidR="000D1E5E" w:rsidRDefault="000D1E5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D5CA" w14:textId="77777777" w:rsidR="006E0368" w:rsidRDefault="006E036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EAECA" w14:textId="77777777" w:rsidR="000D1E5E" w:rsidRDefault="000D1E5E">
      <w:r>
        <w:separator/>
      </w:r>
    </w:p>
  </w:footnote>
  <w:footnote w:type="continuationSeparator" w:id="0">
    <w:p w14:paraId="7A2264BF" w14:textId="77777777" w:rsidR="000D1E5E" w:rsidRDefault="000D1E5E">
      <w:r>
        <w:continuationSeparator/>
      </w:r>
    </w:p>
  </w:footnote>
  <w:footnote w:type="continuationNotice" w:id="1">
    <w:p w14:paraId="44012A6E" w14:textId="77777777" w:rsidR="000D1E5E" w:rsidRDefault="000D1E5E"/>
  </w:footnote>
  <w:footnote w:id="2">
    <w:p w14:paraId="3D7CC6BD" w14:textId="77777777" w:rsidR="00B97D17" w:rsidRDefault="00B97D17" w:rsidP="00B97D17">
      <w:pPr>
        <w:pStyle w:val="Fotnotstext"/>
      </w:pPr>
      <w:r>
        <w:rPr>
          <w:rStyle w:val="Fotnotsreferens"/>
        </w:rPr>
        <w:footnoteRef/>
      </w:r>
      <w:r>
        <w:t xml:space="preserve"> Avses att exempelvis lön, fast tillägg och LKP</w:t>
      </w:r>
      <w:r w:rsidR="00E62425">
        <w:t xml:space="preserve"> inte ingår i övningskostnader </w:t>
      </w:r>
      <w:r>
        <w:t>men däremot de tillägg och merkostnader som direkt följer av övningsverksamheten ingår.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EB6B" w14:textId="77777777" w:rsidR="006E0368" w:rsidRDefault="006E036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1194C" w14:textId="77777777" w:rsidR="00BE7B84" w:rsidRDefault="00BE7B84">
    <w:pPr>
      <w:pStyle w:val="Sidhuvud"/>
    </w:pPr>
    <w:r>
      <w:tab/>
    </w:r>
    <w:r>
      <w:tab/>
    </w:r>
    <w:r>
      <w:tab/>
    </w:r>
  </w:p>
  <w:p w14:paraId="3494743E" w14:textId="399CA808" w:rsidR="00BE7B84" w:rsidRPr="00C95389" w:rsidRDefault="00BE7B84">
    <w:pPr>
      <w:pStyle w:val="Sidhuvud"/>
    </w:pPr>
    <w:bookmarkStart w:id="0" w:name="_GoBack"/>
    <w:r w:rsidRPr="00C95389">
      <w:t>Bilaga 2 till Försvarsmaktens regleri</w:t>
    </w:r>
    <w:r w:rsidR="000963E6">
      <w:t>ngsbrev avs</w:t>
    </w:r>
    <w:r w:rsidR="00F24988">
      <w:t xml:space="preserve">eende budgetåret 2014 </w:t>
    </w:r>
    <w:r w:rsidR="006E0368">
      <w:tab/>
    </w:r>
    <w:bookmarkEnd w:id="0"/>
    <w:r w:rsidR="006E0368">
      <w:t>2013-12-19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68EF6" w14:textId="77777777" w:rsidR="006E0368" w:rsidRDefault="006E036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6F0"/>
    <w:multiLevelType w:val="hybridMultilevel"/>
    <w:tmpl w:val="8E666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23C5A68"/>
    <w:multiLevelType w:val="hybridMultilevel"/>
    <w:tmpl w:val="CA0602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39F298F"/>
    <w:multiLevelType w:val="hybridMultilevel"/>
    <w:tmpl w:val="D96EE1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4A650FC"/>
    <w:multiLevelType w:val="hybridMultilevel"/>
    <w:tmpl w:val="31B2D084"/>
    <w:lvl w:ilvl="0" w:tplc="533EEF3A">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6367378"/>
    <w:multiLevelType w:val="hybridMultilevel"/>
    <w:tmpl w:val="6C380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676D1A29"/>
    <w:multiLevelType w:val="hybridMultilevel"/>
    <w:tmpl w:val="A948D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E05789B"/>
    <w:multiLevelType w:val="hybridMultilevel"/>
    <w:tmpl w:val="847E7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66432C9"/>
    <w:multiLevelType w:val="hybridMultilevel"/>
    <w:tmpl w:val="297E42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202"/>
    <w:rsid w:val="0001452E"/>
    <w:rsid w:val="00022186"/>
    <w:rsid w:val="00030F93"/>
    <w:rsid w:val="000756EE"/>
    <w:rsid w:val="0009556D"/>
    <w:rsid w:val="000963E6"/>
    <w:rsid w:val="000A3839"/>
    <w:rsid w:val="000D1E5E"/>
    <w:rsid w:val="000D50A3"/>
    <w:rsid w:val="000E782A"/>
    <w:rsid w:val="000F4CD7"/>
    <w:rsid w:val="00101FA9"/>
    <w:rsid w:val="0011015F"/>
    <w:rsid w:val="00116FC4"/>
    <w:rsid w:val="00122E1E"/>
    <w:rsid w:val="00123D5B"/>
    <w:rsid w:val="001246D2"/>
    <w:rsid w:val="00132F9A"/>
    <w:rsid w:val="00160A57"/>
    <w:rsid w:val="00175A46"/>
    <w:rsid w:val="001A5251"/>
    <w:rsid w:val="001D1CBB"/>
    <w:rsid w:val="001D502B"/>
    <w:rsid w:val="001E69CE"/>
    <w:rsid w:val="001F38CB"/>
    <w:rsid w:val="00230A68"/>
    <w:rsid w:val="00257CB1"/>
    <w:rsid w:val="00271A67"/>
    <w:rsid w:val="0027378D"/>
    <w:rsid w:val="00276E1A"/>
    <w:rsid w:val="002824BE"/>
    <w:rsid w:val="002A59A3"/>
    <w:rsid w:val="002C3202"/>
    <w:rsid w:val="002C7982"/>
    <w:rsid w:val="002D1EC8"/>
    <w:rsid w:val="002D2848"/>
    <w:rsid w:val="002E7A67"/>
    <w:rsid w:val="003277A3"/>
    <w:rsid w:val="00332642"/>
    <w:rsid w:val="00356E60"/>
    <w:rsid w:val="003662F8"/>
    <w:rsid w:val="003A0A34"/>
    <w:rsid w:val="003A113D"/>
    <w:rsid w:val="003A6C3F"/>
    <w:rsid w:val="003B122A"/>
    <w:rsid w:val="003E1BD3"/>
    <w:rsid w:val="003E382B"/>
    <w:rsid w:val="00427BA6"/>
    <w:rsid w:val="00461497"/>
    <w:rsid w:val="00462FF7"/>
    <w:rsid w:val="00470900"/>
    <w:rsid w:val="00487E57"/>
    <w:rsid w:val="004B0E10"/>
    <w:rsid w:val="004B2704"/>
    <w:rsid w:val="004C33BA"/>
    <w:rsid w:val="004D0402"/>
    <w:rsid w:val="004D3887"/>
    <w:rsid w:val="004F1C5C"/>
    <w:rsid w:val="004F568F"/>
    <w:rsid w:val="005017ED"/>
    <w:rsid w:val="0050398D"/>
    <w:rsid w:val="005060A4"/>
    <w:rsid w:val="00512D47"/>
    <w:rsid w:val="005243A7"/>
    <w:rsid w:val="00532B8A"/>
    <w:rsid w:val="00534F8A"/>
    <w:rsid w:val="005414C1"/>
    <w:rsid w:val="00563C6F"/>
    <w:rsid w:val="005A789A"/>
    <w:rsid w:val="005C1C21"/>
    <w:rsid w:val="005D076B"/>
    <w:rsid w:val="005D71E0"/>
    <w:rsid w:val="005E58DF"/>
    <w:rsid w:val="005F097D"/>
    <w:rsid w:val="0063531C"/>
    <w:rsid w:val="00652DB9"/>
    <w:rsid w:val="006534EA"/>
    <w:rsid w:val="00655823"/>
    <w:rsid w:val="006664BE"/>
    <w:rsid w:val="00666907"/>
    <w:rsid w:val="006A2D09"/>
    <w:rsid w:val="006D3DF8"/>
    <w:rsid w:val="006E0368"/>
    <w:rsid w:val="006E0AD1"/>
    <w:rsid w:val="006E7AB1"/>
    <w:rsid w:val="00712A4C"/>
    <w:rsid w:val="00720068"/>
    <w:rsid w:val="00737733"/>
    <w:rsid w:val="00790114"/>
    <w:rsid w:val="00791BB2"/>
    <w:rsid w:val="007956D2"/>
    <w:rsid w:val="007A0561"/>
    <w:rsid w:val="007B2284"/>
    <w:rsid w:val="007D222F"/>
    <w:rsid w:val="00804379"/>
    <w:rsid w:val="00810A80"/>
    <w:rsid w:val="00810DF0"/>
    <w:rsid w:val="00813F9F"/>
    <w:rsid w:val="0082314C"/>
    <w:rsid w:val="008306A6"/>
    <w:rsid w:val="00835789"/>
    <w:rsid w:val="008613F6"/>
    <w:rsid w:val="0087153C"/>
    <w:rsid w:val="008A18BF"/>
    <w:rsid w:val="008C37B4"/>
    <w:rsid w:val="008C44B3"/>
    <w:rsid w:val="008E50D7"/>
    <w:rsid w:val="008E6B77"/>
    <w:rsid w:val="008F2989"/>
    <w:rsid w:val="008F35AF"/>
    <w:rsid w:val="008F5146"/>
    <w:rsid w:val="009044E1"/>
    <w:rsid w:val="00937F01"/>
    <w:rsid w:val="0094308A"/>
    <w:rsid w:val="009522A7"/>
    <w:rsid w:val="00954173"/>
    <w:rsid w:val="009571EF"/>
    <w:rsid w:val="009950A9"/>
    <w:rsid w:val="009B7A7B"/>
    <w:rsid w:val="009F07BC"/>
    <w:rsid w:val="009F0963"/>
    <w:rsid w:val="00A30359"/>
    <w:rsid w:val="00A32F28"/>
    <w:rsid w:val="00A475E5"/>
    <w:rsid w:val="00AA1F8E"/>
    <w:rsid w:val="00AB53FB"/>
    <w:rsid w:val="00AF4438"/>
    <w:rsid w:val="00B11B88"/>
    <w:rsid w:val="00B17D0B"/>
    <w:rsid w:val="00B33F07"/>
    <w:rsid w:val="00B35682"/>
    <w:rsid w:val="00B3707B"/>
    <w:rsid w:val="00B37BB6"/>
    <w:rsid w:val="00B561EC"/>
    <w:rsid w:val="00B57C05"/>
    <w:rsid w:val="00B97D17"/>
    <w:rsid w:val="00B97FAE"/>
    <w:rsid w:val="00BA38F8"/>
    <w:rsid w:val="00BC70BF"/>
    <w:rsid w:val="00BE49B7"/>
    <w:rsid w:val="00BE7B84"/>
    <w:rsid w:val="00C03E43"/>
    <w:rsid w:val="00C13B8B"/>
    <w:rsid w:val="00C43A61"/>
    <w:rsid w:val="00C60A15"/>
    <w:rsid w:val="00C759AA"/>
    <w:rsid w:val="00C95389"/>
    <w:rsid w:val="00CA5E74"/>
    <w:rsid w:val="00CB3651"/>
    <w:rsid w:val="00CE1655"/>
    <w:rsid w:val="00CF71EF"/>
    <w:rsid w:val="00D3185C"/>
    <w:rsid w:val="00D45FF9"/>
    <w:rsid w:val="00D5318C"/>
    <w:rsid w:val="00D57880"/>
    <w:rsid w:val="00D60F2D"/>
    <w:rsid w:val="00D657AF"/>
    <w:rsid w:val="00D6631F"/>
    <w:rsid w:val="00D8495F"/>
    <w:rsid w:val="00DA4F61"/>
    <w:rsid w:val="00DB416C"/>
    <w:rsid w:val="00DC4194"/>
    <w:rsid w:val="00E04CCB"/>
    <w:rsid w:val="00E070BC"/>
    <w:rsid w:val="00E17502"/>
    <w:rsid w:val="00E62425"/>
    <w:rsid w:val="00E82CB5"/>
    <w:rsid w:val="00E95B56"/>
    <w:rsid w:val="00EB36CF"/>
    <w:rsid w:val="00EB4A8F"/>
    <w:rsid w:val="00ED0267"/>
    <w:rsid w:val="00ED61D0"/>
    <w:rsid w:val="00ED7E67"/>
    <w:rsid w:val="00F03629"/>
    <w:rsid w:val="00F24988"/>
    <w:rsid w:val="00F35FD3"/>
    <w:rsid w:val="00F43DD7"/>
    <w:rsid w:val="00F74DC5"/>
    <w:rsid w:val="00FB19B5"/>
    <w:rsid w:val="00FC395E"/>
    <w:rsid w:val="00FE7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E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202"/>
    <w:rPr>
      <w:sz w:val="24"/>
      <w:szCs w:val="24"/>
    </w:rPr>
  </w:style>
  <w:style w:type="paragraph" w:styleId="Rubrik3">
    <w:name w:val="heading 3"/>
    <w:basedOn w:val="Normal"/>
    <w:next w:val="Normal"/>
    <w:qFormat/>
    <w:rsid w:val="002C3202"/>
    <w:pPr>
      <w:keepNext/>
      <w:spacing w:before="240" w:after="60"/>
      <w:outlineLvl w:val="2"/>
    </w:pPr>
    <w:rPr>
      <w:rFonts w:ascii="Arial" w:hAnsi="Arial" w:cs="Arial"/>
      <w:b/>
      <w:bCs/>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2C3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normal">
    <w:name w:val="RKnormal"/>
    <w:basedOn w:val="Normal"/>
    <w:rsid w:val="002C3202"/>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styleId="Ballongtext">
    <w:name w:val="Balloon Text"/>
    <w:basedOn w:val="Normal"/>
    <w:semiHidden/>
    <w:rsid w:val="009B7A7B"/>
    <w:rPr>
      <w:rFonts w:ascii="Tahoma" w:hAnsi="Tahoma" w:cs="Tahoma"/>
      <w:sz w:val="16"/>
      <w:szCs w:val="16"/>
    </w:rPr>
  </w:style>
  <w:style w:type="paragraph" w:styleId="Sidhuvud">
    <w:name w:val="header"/>
    <w:basedOn w:val="Normal"/>
    <w:link w:val="SidhuvudChar"/>
    <w:uiPriority w:val="99"/>
    <w:rsid w:val="00C95389"/>
    <w:pPr>
      <w:tabs>
        <w:tab w:val="center" w:pos="4536"/>
        <w:tab w:val="right" w:pos="9072"/>
      </w:tabs>
    </w:pPr>
  </w:style>
  <w:style w:type="paragraph" w:styleId="Sidfot">
    <w:name w:val="footer"/>
    <w:basedOn w:val="Normal"/>
    <w:rsid w:val="00C95389"/>
    <w:pPr>
      <w:tabs>
        <w:tab w:val="center" w:pos="4536"/>
        <w:tab w:val="right" w:pos="9072"/>
      </w:tabs>
    </w:pPr>
  </w:style>
  <w:style w:type="character" w:customStyle="1" w:styleId="SidhuvudChar">
    <w:name w:val="Sidhuvud Char"/>
    <w:link w:val="Sidhuvud"/>
    <w:uiPriority w:val="99"/>
    <w:rsid w:val="00B57C05"/>
    <w:rPr>
      <w:sz w:val="24"/>
      <w:szCs w:val="24"/>
    </w:rPr>
  </w:style>
  <w:style w:type="character" w:styleId="Kommentarsreferens">
    <w:name w:val="annotation reference"/>
    <w:rsid w:val="00B97D17"/>
    <w:rPr>
      <w:sz w:val="16"/>
      <w:szCs w:val="16"/>
    </w:rPr>
  </w:style>
  <w:style w:type="paragraph" w:styleId="Kommentarer">
    <w:name w:val="annotation text"/>
    <w:basedOn w:val="Normal"/>
    <w:link w:val="KommentarerChar"/>
    <w:rsid w:val="00B97D17"/>
    <w:rPr>
      <w:sz w:val="20"/>
      <w:szCs w:val="20"/>
    </w:rPr>
  </w:style>
  <w:style w:type="character" w:customStyle="1" w:styleId="KommentarerChar">
    <w:name w:val="Kommentarer Char"/>
    <w:basedOn w:val="Standardstycketeckensnitt"/>
    <w:link w:val="Kommentarer"/>
    <w:rsid w:val="00B97D17"/>
  </w:style>
  <w:style w:type="paragraph" w:styleId="Fotnotstext">
    <w:name w:val="footnote text"/>
    <w:basedOn w:val="Normal"/>
    <w:link w:val="FotnotstextChar"/>
    <w:rsid w:val="00B97D17"/>
    <w:rPr>
      <w:sz w:val="20"/>
      <w:szCs w:val="20"/>
    </w:rPr>
  </w:style>
  <w:style w:type="character" w:customStyle="1" w:styleId="FotnotstextChar">
    <w:name w:val="Fotnotstext Char"/>
    <w:basedOn w:val="Standardstycketeckensnitt"/>
    <w:link w:val="Fotnotstext"/>
    <w:rsid w:val="00B97D17"/>
  </w:style>
  <w:style w:type="character" w:styleId="Fotnotsreferens">
    <w:name w:val="footnote reference"/>
    <w:rsid w:val="00B97D17"/>
    <w:rPr>
      <w:vertAlign w:val="superscript"/>
    </w:rPr>
  </w:style>
  <w:style w:type="paragraph" w:styleId="Kommentarsmne">
    <w:name w:val="annotation subject"/>
    <w:basedOn w:val="Kommentarer"/>
    <w:next w:val="Kommentarer"/>
    <w:link w:val="KommentarsmneChar"/>
    <w:rsid w:val="003662F8"/>
    <w:rPr>
      <w:b/>
      <w:bCs/>
    </w:rPr>
  </w:style>
  <w:style w:type="character" w:customStyle="1" w:styleId="KommentarsmneChar">
    <w:name w:val="Kommentarsämne Char"/>
    <w:link w:val="Kommentarsmne"/>
    <w:rsid w:val="003662F8"/>
    <w:rPr>
      <w:b/>
      <w:bCs/>
    </w:rPr>
  </w:style>
  <w:style w:type="paragraph" w:styleId="Revision">
    <w:name w:val="Revision"/>
    <w:hidden/>
    <w:uiPriority w:val="99"/>
    <w:semiHidden/>
    <w:rsid w:val="000D1E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202"/>
    <w:rPr>
      <w:sz w:val="24"/>
      <w:szCs w:val="24"/>
    </w:rPr>
  </w:style>
  <w:style w:type="paragraph" w:styleId="Rubrik3">
    <w:name w:val="heading 3"/>
    <w:basedOn w:val="Normal"/>
    <w:next w:val="Normal"/>
    <w:qFormat/>
    <w:rsid w:val="002C3202"/>
    <w:pPr>
      <w:keepNext/>
      <w:spacing w:before="240" w:after="60"/>
      <w:outlineLvl w:val="2"/>
    </w:pPr>
    <w:rPr>
      <w:rFonts w:ascii="Arial" w:hAnsi="Arial" w:cs="Arial"/>
      <w:b/>
      <w:bCs/>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2C3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normal">
    <w:name w:val="RKnormal"/>
    <w:basedOn w:val="Normal"/>
    <w:rsid w:val="002C3202"/>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styleId="Ballongtext">
    <w:name w:val="Balloon Text"/>
    <w:basedOn w:val="Normal"/>
    <w:semiHidden/>
    <w:rsid w:val="009B7A7B"/>
    <w:rPr>
      <w:rFonts w:ascii="Tahoma" w:hAnsi="Tahoma" w:cs="Tahoma"/>
      <w:sz w:val="16"/>
      <w:szCs w:val="16"/>
    </w:rPr>
  </w:style>
  <w:style w:type="paragraph" w:styleId="Sidhuvud">
    <w:name w:val="header"/>
    <w:basedOn w:val="Normal"/>
    <w:link w:val="SidhuvudChar"/>
    <w:uiPriority w:val="99"/>
    <w:rsid w:val="00C95389"/>
    <w:pPr>
      <w:tabs>
        <w:tab w:val="center" w:pos="4536"/>
        <w:tab w:val="right" w:pos="9072"/>
      </w:tabs>
    </w:pPr>
  </w:style>
  <w:style w:type="paragraph" w:styleId="Sidfot">
    <w:name w:val="footer"/>
    <w:basedOn w:val="Normal"/>
    <w:rsid w:val="00C95389"/>
    <w:pPr>
      <w:tabs>
        <w:tab w:val="center" w:pos="4536"/>
        <w:tab w:val="right" w:pos="9072"/>
      </w:tabs>
    </w:pPr>
  </w:style>
  <w:style w:type="character" w:customStyle="1" w:styleId="SidhuvudChar">
    <w:name w:val="Sidhuvud Char"/>
    <w:link w:val="Sidhuvud"/>
    <w:uiPriority w:val="99"/>
    <w:rsid w:val="00B57C05"/>
    <w:rPr>
      <w:sz w:val="24"/>
      <w:szCs w:val="24"/>
    </w:rPr>
  </w:style>
  <w:style w:type="character" w:styleId="Kommentarsreferens">
    <w:name w:val="annotation reference"/>
    <w:rsid w:val="00B97D17"/>
    <w:rPr>
      <w:sz w:val="16"/>
      <w:szCs w:val="16"/>
    </w:rPr>
  </w:style>
  <w:style w:type="paragraph" w:styleId="Kommentarer">
    <w:name w:val="annotation text"/>
    <w:basedOn w:val="Normal"/>
    <w:link w:val="KommentarerChar"/>
    <w:rsid w:val="00B97D17"/>
    <w:rPr>
      <w:sz w:val="20"/>
      <w:szCs w:val="20"/>
    </w:rPr>
  </w:style>
  <w:style w:type="character" w:customStyle="1" w:styleId="KommentarerChar">
    <w:name w:val="Kommentarer Char"/>
    <w:basedOn w:val="Standardstycketeckensnitt"/>
    <w:link w:val="Kommentarer"/>
    <w:rsid w:val="00B97D17"/>
  </w:style>
  <w:style w:type="paragraph" w:styleId="Fotnotstext">
    <w:name w:val="footnote text"/>
    <w:basedOn w:val="Normal"/>
    <w:link w:val="FotnotstextChar"/>
    <w:rsid w:val="00B97D17"/>
    <w:rPr>
      <w:sz w:val="20"/>
      <w:szCs w:val="20"/>
    </w:rPr>
  </w:style>
  <w:style w:type="character" w:customStyle="1" w:styleId="FotnotstextChar">
    <w:name w:val="Fotnotstext Char"/>
    <w:basedOn w:val="Standardstycketeckensnitt"/>
    <w:link w:val="Fotnotstext"/>
    <w:rsid w:val="00B97D17"/>
  </w:style>
  <w:style w:type="character" w:styleId="Fotnotsreferens">
    <w:name w:val="footnote reference"/>
    <w:rsid w:val="00B97D17"/>
    <w:rPr>
      <w:vertAlign w:val="superscript"/>
    </w:rPr>
  </w:style>
  <w:style w:type="paragraph" w:styleId="Kommentarsmne">
    <w:name w:val="annotation subject"/>
    <w:basedOn w:val="Kommentarer"/>
    <w:next w:val="Kommentarer"/>
    <w:link w:val="KommentarsmneChar"/>
    <w:rsid w:val="003662F8"/>
    <w:rPr>
      <w:b/>
      <w:bCs/>
    </w:rPr>
  </w:style>
  <w:style w:type="character" w:customStyle="1" w:styleId="KommentarsmneChar">
    <w:name w:val="Kommentarsämne Char"/>
    <w:link w:val="Kommentarsmne"/>
    <w:rsid w:val="003662F8"/>
    <w:rPr>
      <w:b/>
      <w:bCs/>
    </w:rPr>
  </w:style>
  <w:style w:type="paragraph" w:styleId="Revision">
    <w:name w:val="Revision"/>
    <w:hidden/>
    <w:uiPriority w:val="99"/>
    <w:semiHidden/>
    <w:rsid w:val="000D1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CD673D971CB5324B8B37AF9350672DF4" ma:contentTypeVersion="12" ma:contentTypeDescription="Skapa ett nytt dokument." ma:contentTypeScope="" ma:versionID="0b0a1cf29119bdc0297302dc963e930f">
  <xsd:schema xmlns:xsd="http://www.w3.org/2001/XMLSchema" xmlns:xs="http://www.w3.org/2001/XMLSchema" xmlns:p="http://schemas.microsoft.com/office/2006/metadata/properties" xmlns:ns2="950b7639-1547-4677-b7a6-e5d45eb0e79b" xmlns:ns3="b9174cb8-a0d5-4a49-b4f4-c73d7dc6d34f" targetNamespace="http://schemas.microsoft.com/office/2006/metadata/properties" ma:root="true" ma:fieldsID="418a8a43fcb4cd7eb9232ec14ab40780" ns2:_="" ns3:_="">
    <xsd:import namespace="950b7639-1547-4677-b7a6-e5d45eb0e79b"/>
    <xsd:import namespace="b9174cb8-a0d5-4a49-b4f4-c73d7dc6d34f"/>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174cb8-a0d5-4a49-b4f4-c73d7dc6d34f"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ekretess xmlns="950b7639-1547-4677-b7a6-e5d45eb0e79b" xsi:nil="true"/>
    <TaxCatchAll xmlns="950b7639-1547-4677-b7a6-e5d45eb0e79b"/>
    <RKOrdnaCheckInComment xmlns="b9174cb8-a0d5-4a49-b4f4-c73d7dc6d34f" xsi:nil="true"/>
    <Nyckelord xmlns="950b7639-1547-4677-b7a6-e5d45eb0e79b" xsi:nil="true"/>
    <Diarienummer xmlns="950b7639-1547-4677-b7a6-e5d45eb0e79b" xsi:nil="true"/>
    <c9cd366cc722410295b9eacffbd73909 xmlns="950b7639-1547-4677-b7a6-e5d45eb0e79b">
      <Terms xmlns="http://schemas.microsoft.com/office/infopath/2007/PartnerControls"/>
    </c9cd366cc722410295b9eacffbd73909>
    <k46d94c0acf84ab9a79866a9d8b1905f xmlns="950b7639-1547-4677-b7a6-e5d45eb0e79b">
      <Terms xmlns="http://schemas.microsoft.com/office/infopath/2007/PartnerControls"/>
    </k46d94c0acf84ab9a79866a9d8b1905f>
    <RKOrdnaClass xmlns="b9174cb8-a0d5-4a49-b4f4-c73d7dc6d34f" xsi:nil="true"/>
    <_dlc_DocId xmlns="950b7639-1547-4677-b7a6-e5d45eb0e79b">HH64RSREWK5K-11-579</_dlc_DocId>
    <_dlc_DocIdUrl xmlns="950b7639-1547-4677-b7a6-e5d45eb0e79b">
      <Url>http://rkdhs-fo/enhet/mfi/_layouts/DocIdRedir.aspx?ID=HH64RSREWK5K-11-579</Url>
      <Description>HH64RSREWK5K-11-579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EDAD-6D28-49E6-B282-9965BA2F7B2D}"/>
</file>

<file path=customXml/itemProps2.xml><?xml version="1.0" encoding="utf-8"?>
<ds:datastoreItem xmlns:ds="http://schemas.openxmlformats.org/officeDocument/2006/customXml" ds:itemID="{E3F7F2EA-8CB9-4197-9758-CDA0ACC281CE}"/>
</file>

<file path=customXml/itemProps3.xml><?xml version="1.0" encoding="utf-8"?>
<ds:datastoreItem xmlns:ds="http://schemas.openxmlformats.org/officeDocument/2006/customXml" ds:itemID="{3ED0ED51-A5ED-4BF0-9B9B-2A264E87F6D2}"/>
</file>

<file path=customXml/itemProps4.xml><?xml version="1.0" encoding="utf-8"?>
<ds:datastoreItem xmlns:ds="http://schemas.openxmlformats.org/officeDocument/2006/customXml" ds:itemID="{0D46ED08-D250-49DD-92E0-CD85A2796A45}"/>
</file>

<file path=customXml/itemProps5.xml><?xml version="1.0" encoding="utf-8"?>
<ds:datastoreItem xmlns:ds="http://schemas.openxmlformats.org/officeDocument/2006/customXml" ds:itemID="{6AF674E7-D694-4C27-BAF6-35B6060D5602}"/>
</file>

<file path=customXml/itemProps6.xml><?xml version="1.0" encoding="utf-8"?>
<ds:datastoreItem xmlns:ds="http://schemas.openxmlformats.org/officeDocument/2006/customXml" ds:itemID="{D0272CE8-EACA-4430-9FBE-E6FC63D8CEBA}"/>
</file>

<file path=customXml/itemProps7.xml><?xml version="1.0" encoding="utf-8"?>
<ds:datastoreItem xmlns:ds="http://schemas.openxmlformats.org/officeDocument/2006/customXml" ds:itemID="{2961CCB7-29AD-421B-90E2-34FA7B4A738C}"/>
</file>

<file path=customXml/itemProps8.xml><?xml version="1.0" encoding="utf-8"?>
<ds:datastoreItem xmlns:ds="http://schemas.openxmlformats.org/officeDocument/2006/customXml" ds:itemID="{B94BABCF-E2C6-4AEE-AC00-726F884CC789}"/>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4600</Characters>
  <Application>Microsoft Office Word</Application>
  <DocSecurity>0</DocSecurity>
  <Lines>418</Lines>
  <Paragraphs>183</Paragraphs>
  <ScaleCrop>false</ScaleCrop>
  <HeadingPairs>
    <vt:vector size="2" baseType="variant">
      <vt:variant>
        <vt:lpstr>Rubrik</vt:lpstr>
      </vt:variant>
      <vt:variant>
        <vt:i4>1</vt:i4>
      </vt:variant>
    </vt:vector>
  </HeadingPairs>
  <TitlesOfParts>
    <vt:vector size="1" baseType="lpstr">
      <vt:lpstr>Bilaga 2 till Försvarsmaktens regleringsbrev avseende budgetåret 2012</vt:lpstr>
    </vt:vector>
  </TitlesOfParts>
  <Company>Regeringskansliet</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2 till Försvarsmaktens regleringsbrev avseende budgetåret 2012</dc:title>
  <dc:creator>Mathias Fredriksson</dc:creator>
  <cp:lastModifiedBy>Karin Hebert</cp:lastModifiedBy>
  <cp:revision>2</cp:revision>
  <cp:lastPrinted>2013-11-08T11:23:00Z</cp:lastPrinted>
  <dcterms:created xsi:type="dcterms:W3CDTF">2013-12-09T12:00:00Z</dcterms:created>
  <dcterms:modified xsi:type="dcterms:W3CDTF">2013-12-09T12:00:00Z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0x01010053E1D612BA3F4E21AA250ECD751942B300CD673D971CB5324B8B37AF9350672DF4</vt:lpwstr>
  </property>
  <property fmtid="{D5CDD505-2E9C-101B-9397-08002B2CF9AE}" pid="3" name="k46d94c0acf84ab9a79866a9d8b1905f">
    <vt:lpwstr/>
  </property>
  <property fmtid="{D5CDD505-2E9C-101B-9397-08002B2CF9AE}" pid="4" name="Sekretess">
    <vt:lpwstr/>
  </property>
  <property fmtid="{D5CDD505-2E9C-101B-9397-08002B2CF9AE}" pid="5" name="c9cd366cc722410295b9eacffbd73909">
    <vt:lpwstr/>
  </property>
  <property fmtid="{D5CDD505-2E9C-101B-9397-08002B2CF9AE}" pid="6" name="TaxCatchAll">
    <vt:lpwstr/>
  </property>
  <property fmtid="{D5CDD505-2E9C-101B-9397-08002B2CF9AE}" pid="7" name="RKOrdnaCheckInComment">
    <vt:lpwstr/>
  </property>
  <property fmtid="{D5CDD505-2E9C-101B-9397-08002B2CF9AE}" pid="8" name="Diarienummer">
    <vt:lpwstr/>
  </property>
  <property fmtid="{D5CDD505-2E9C-101B-9397-08002B2CF9AE}" pid="9" name="Nyckelord">
    <vt:lpwstr/>
  </property>
  <property fmtid="{D5CDD505-2E9C-101B-9397-08002B2CF9AE}" pid="10" name="RKOrdnaClass">
    <vt:lpwstr/>
  </property>
  <property fmtid="{D5CDD505-2E9C-101B-9397-08002B2CF9AE}" pid="11" name="_dlc_DocId">
    <vt:lpwstr>KSEDHMRWMF6T-109-2379</vt:lpwstr>
  </property>
  <property fmtid="{D5CDD505-2E9C-101B-9397-08002B2CF9AE}" pid="12" name="_dlc_DocIdItemGuid">
    <vt:lpwstr>60d9fc02-71f4-4103-af96-ba4b583720e0</vt:lpwstr>
  </property>
  <property fmtid="{D5CDD505-2E9C-101B-9397-08002B2CF9AE}" pid="13" name="_dlc_DocIdUrl">
    <vt:lpwstr>http://rkdhs-fi/enhet/ba/BA1/_layouts/DocIdRedir.aspx?ID=KSEDHMRWMF6T-109-2379, KSEDHMRWMF6T-109-2379</vt:lpwstr>
  </property>
  <property fmtid="{D5CDD505-2E9C-101B-9397-08002B2CF9AE}" pid="14" name="Aktivitetskategori">
    <vt:lpwstr/>
  </property>
  <property fmtid="{D5CDD505-2E9C-101B-9397-08002B2CF9AE}" pid="15" name="Departementsenhet">
    <vt:lpwstr/>
  </property>
</Properties>
</file>