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29FB8" w14:textId="5371A641" w:rsidR="005750AC" w:rsidRPr="00C70E1A" w:rsidRDefault="005750AC" w:rsidP="00C70E1A">
      <w:pPr>
        <w:overflowPunct/>
        <w:spacing w:line="240" w:lineRule="auto"/>
        <w:jc w:val="right"/>
        <w:textAlignment w:val="auto"/>
        <w:rPr>
          <w:rFonts w:cs="OriginalGaramondBTBold"/>
          <w:bCs/>
          <w:szCs w:val="24"/>
          <w:lang w:eastAsia="sv-SE"/>
        </w:rPr>
      </w:pPr>
      <w:r w:rsidRPr="00C70E1A">
        <w:rPr>
          <w:rFonts w:cs="OriginalGaramondBTBold"/>
          <w:bCs/>
          <w:szCs w:val="24"/>
          <w:lang w:eastAsia="sv-SE"/>
        </w:rPr>
        <w:t xml:space="preserve">Bilaga </w:t>
      </w:r>
      <w:r w:rsidR="009625E5">
        <w:rPr>
          <w:rFonts w:cs="OriginalGaramondBTBold"/>
          <w:bCs/>
          <w:szCs w:val="24"/>
          <w:lang w:eastAsia="sv-SE"/>
        </w:rPr>
        <w:t>2</w:t>
      </w:r>
      <w:r w:rsidR="00C70E1A">
        <w:rPr>
          <w:rFonts w:cs="OriginalGaramondBTBold"/>
          <w:bCs/>
          <w:szCs w:val="24"/>
          <w:lang w:eastAsia="sv-SE"/>
        </w:rPr>
        <w:t xml:space="preserve"> till r</w:t>
      </w:r>
      <w:r w:rsidR="009625E5">
        <w:rPr>
          <w:rFonts w:cs="OriginalGaramondBTBold"/>
          <w:bCs/>
          <w:szCs w:val="24"/>
          <w:lang w:eastAsia="sv-SE"/>
        </w:rPr>
        <w:t xml:space="preserve">egeringsbeslut </w:t>
      </w:r>
      <w:r w:rsidR="00673E65">
        <w:rPr>
          <w:rFonts w:cs="OriginalGaramondBTBold"/>
          <w:bCs/>
          <w:szCs w:val="24"/>
          <w:lang w:eastAsia="sv-SE"/>
        </w:rPr>
        <w:t>I</w:t>
      </w:r>
      <w:r w:rsidR="009625E5" w:rsidRPr="00171696">
        <w:rPr>
          <w:rFonts w:cs="OriginalGaramondBTBold"/>
          <w:bCs/>
          <w:szCs w:val="24"/>
          <w:lang w:eastAsia="sv-SE"/>
        </w:rPr>
        <w:t xml:space="preserve"> </w:t>
      </w:r>
      <w:r w:rsidR="00673E65">
        <w:rPr>
          <w:rFonts w:cs="OriginalGaramondBTBold"/>
          <w:bCs/>
          <w:szCs w:val="24"/>
          <w:lang w:eastAsia="sv-SE"/>
        </w:rPr>
        <w:t>4 den 22 december 2016</w:t>
      </w:r>
      <w:r w:rsidR="006A6AAC" w:rsidRPr="00171696">
        <w:rPr>
          <w:rFonts w:cs="OriginalGaramondBTBold"/>
          <w:bCs/>
          <w:szCs w:val="24"/>
          <w:lang w:eastAsia="sv-SE"/>
        </w:rPr>
        <w:t>, dnr N2016/</w:t>
      </w:r>
      <w:r w:rsidR="00673E65">
        <w:rPr>
          <w:rFonts w:cs="OriginalGaramondBTBold"/>
          <w:bCs/>
          <w:szCs w:val="24"/>
          <w:lang w:eastAsia="sv-SE"/>
        </w:rPr>
        <w:t>08059</w:t>
      </w:r>
      <w:r w:rsidR="00C70E1A" w:rsidRPr="00171696">
        <w:rPr>
          <w:rFonts w:cs="OriginalGaramondBTBold"/>
          <w:bCs/>
          <w:szCs w:val="24"/>
          <w:lang w:eastAsia="sv-SE"/>
        </w:rPr>
        <w:t>/FF</w:t>
      </w:r>
      <w:r w:rsidR="00C46BC8" w:rsidRPr="00171696">
        <w:rPr>
          <w:rFonts w:cs="OriginalGaramondBTBold"/>
          <w:bCs/>
          <w:szCs w:val="24"/>
          <w:lang w:eastAsia="sv-SE"/>
        </w:rPr>
        <w:t>, m.fl.</w:t>
      </w:r>
    </w:p>
    <w:p w14:paraId="102644BE" w14:textId="77777777" w:rsidR="005750AC" w:rsidRDefault="005750AC" w:rsidP="005750AC">
      <w:pPr>
        <w:overflowPunct/>
        <w:spacing w:line="240" w:lineRule="auto"/>
        <w:textAlignment w:val="auto"/>
        <w:rPr>
          <w:rFonts w:ascii="OriginalGaramondBTBold" w:hAnsi="OriginalGaramondBTBold" w:cs="OriginalGaramondBTBold"/>
          <w:b/>
          <w:bCs/>
          <w:szCs w:val="24"/>
          <w:lang w:eastAsia="sv-SE"/>
        </w:rPr>
      </w:pPr>
    </w:p>
    <w:p w14:paraId="2727D9E8" w14:textId="512473CE" w:rsidR="005750AC" w:rsidRPr="00C07786" w:rsidRDefault="005750AC" w:rsidP="005750AC">
      <w:pPr>
        <w:rPr>
          <w:rFonts w:ascii="OriginalGaramondBTBold" w:hAnsi="OriginalGaramondBTBold" w:cs="OriginalGaramondBTBold"/>
          <w:b/>
          <w:bCs/>
          <w:szCs w:val="24"/>
          <w:lang w:eastAsia="sv-SE"/>
        </w:rPr>
      </w:pPr>
      <w:r w:rsidRPr="00C07786">
        <w:rPr>
          <w:rFonts w:ascii="OriginalGaramondBTBold" w:hAnsi="OriginalGaramondBTBold" w:cs="OriginalGaramondBTBold"/>
          <w:b/>
          <w:bCs/>
          <w:szCs w:val="24"/>
          <w:lang w:eastAsia="sv-SE"/>
        </w:rPr>
        <w:t>Avrapportering av regionalfondsprogram, gäller även</w:t>
      </w:r>
      <w:r w:rsidR="007C4514">
        <w:rPr>
          <w:rFonts w:ascii="OriginalGaramondBTBold" w:hAnsi="OriginalGaramondBTBold" w:cs="OriginalGaramondBTBold"/>
          <w:b/>
          <w:bCs/>
          <w:szCs w:val="24"/>
          <w:lang w:eastAsia="sv-SE"/>
        </w:rPr>
        <w:t xml:space="preserve"> territoriella samarbetsprogram</w:t>
      </w:r>
    </w:p>
    <w:p w14:paraId="3EDF6B8E" w14:textId="77777777" w:rsidR="005750AC" w:rsidRDefault="005750AC" w:rsidP="005750AC">
      <w:pPr>
        <w:overflowPunct/>
        <w:spacing w:line="240" w:lineRule="auto"/>
        <w:textAlignment w:val="auto"/>
        <w:rPr>
          <w:rFonts w:ascii="OriginalGaramondBTBold" w:hAnsi="OriginalGaramondBTBold" w:cs="OriginalGaramondBTBold"/>
          <w:b/>
          <w:bCs/>
          <w:szCs w:val="24"/>
          <w:lang w:eastAsia="sv-SE"/>
        </w:rPr>
      </w:pPr>
    </w:p>
    <w:p w14:paraId="087AAC0C" w14:textId="77777777" w:rsidR="006A6AAC" w:rsidRDefault="006A6AAC" w:rsidP="006A6AAC">
      <w:pPr>
        <w:rPr>
          <w:b/>
        </w:rPr>
      </w:pPr>
      <w:r>
        <w:rPr>
          <w:b/>
        </w:rPr>
        <w:t>1. Programperioden 2007–2013</w:t>
      </w:r>
    </w:p>
    <w:p w14:paraId="6526FC82" w14:textId="4819CCB7" w:rsidR="006A6AAC" w:rsidRPr="00354A35" w:rsidRDefault="006A6AAC" w:rsidP="006A6AAC">
      <w:r>
        <w:t xml:space="preserve">1.1 Tillväxtverket ska för de åtta regionala programmen och de gränsregionala territoriella </w:t>
      </w:r>
      <w:r w:rsidRPr="00354A35">
        <w:t>samarbetsprogram som förvaltas i Sverige senast den 4 maj 2017 redovisa följande.</w:t>
      </w:r>
    </w:p>
    <w:p w14:paraId="23B1F141"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Beslutade och utbetalda belopp för samtliga program med särredovisning av belopp utbetalade i förskott.</w:t>
      </w:r>
    </w:p>
    <w:p w14:paraId="7C80FEE9"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En sammanfattning av uppnådda resultat enligt respektive programs slutrapport.</w:t>
      </w:r>
    </w:p>
    <w:p w14:paraId="7BC0289A" w14:textId="77777777" w:rsidR="006A6AAC" w:rsidRPr="00354A35" w:rsidRDefault="006A6AAC" w:rsidP="006A6AAC">
      <w:pPr>
        <w:pStyle w:val="Liststycke"/>
        <w:overflowPunct/>
        <w:autoSpaceDE/>
        <w:autoSpaceDN/>
        <w:adjustRightInd/>
        <w:spacing w:line="240" w:lineRule="auto"/>
        <w:ind w:left="360"/>
        <w:textAlignment w:val="auto"/>
      </w:pPr>
    </w:p>
    <w:p w14:paraId="59718B4B" w14:textId="4A03E587" w:rsidR="006A6AAC" w:rsidRPr="00354A35" w:rsidRDefault="006A6AAC" w:rsidP="006A6AAC">
      <w:pPr>
        <w:pStyle w:val="Liststycke"/>
        <w:ind w:left="284" w:hanging="284"/>
      </w:pPr>
      <w:r w:rsidRPr="00354A35">
        <w:t>1.2 Tillväxtverket ska senast den 4 maj 2017 redovisa en sammanställning av de viktigaste resultaten från slutrapporterna för samtliga territoriella samarbetsprogram som Sverige deltar i som inte förvaltas i Sverige.</w:t>
      </w:r>
    </w:p>
    <w:p w14:paraId="73F9AE5C" w14:textId="77777777" w:rsidR="006A6AAC" w:rsidRPr="00354A35" w:rsidRDefault="006A6AAC" w:rsidP="006A6AAC">
      <w:pPr>
        <w:ind w:left="284"/>
      </w:pPr>
    </w:p>
    <w:p w14:paraId="4CA2F1C3" w14:textId="77777777" w:rsidR="006A6AAC" w:rsidRPr="00354A35" w:rsidRDefault="006A6AAC" w:rsidP="006A6AAC">
      <w:pPr>
        <w:keepNext/>
        <w:keepLines/>
        <w:rPr>
          <w:b/>
        </w:rPr>
      </w:pPr>
      <w:r w:rsidRPr="00354A35">
        <w:rPr>
          <w:b/>
        </w:rPr>
        <w:t>2. Programperioden 2014–2020</w:t>
      </w:r>
    </w:p>
    <w:p w14:paraId="2221A6E0" w14:textId="20CF7428" w:rsidR="006A6AAC" w:rsidRPr="00354A35" w:rsidRDefault="006A6AAC" w:rsidP="006A6AAC">
      <w:pPr>
        <w:keepNext/>
        <w:keepLines/>
      </w:pPr>
      <w:r w:rsidRPr="00354A35">
        <w:t>2.1 Tillväxtverket ska senast den 30 mars och 10 oktober 2017 redovisa:</w:t>
      </w:r>
    </w:p>
    <w:p w14:paraId="000B9B79"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Beslutade och utbetalda belopp med särredovisning av belopp utbetalade i förskott för de åtta regionala programmen, det nationella programmet och de territoriella samarbetsprogram som förvaltas i Sverige.</w:t>
      </w:r>
      <w:r w:rsidRPr="00354A35">
        <w:rPr>
          <w:rFonts w:ascii="Calibri" w:eastAsia="Calibri" w:hAnsi="Calibri"/>
          <w:sz w:val="22"/>
          <w:szCs w:val="22"/>
        </w:rPr>
        <w:t xml:space="preserve"> </w:t>
      </w:r>
    </w:p>
    <w:p w14:paraId="585817FE" w14:textId="77777777" w:rsidR="006A6AAC" w:rsidRPr="00354A35" w:rsidRDefault="006A6AAC" w:rsidP="006A6AAC"/>
    <w:p w14:paraId="469D5D77" w14:textId="77777777" w:rsidR="006A6AAC" w:rsidRPr="00354A35" w:rsidRDefault="006A6AAC" w:rsidP="006A6AAC">
      <w:pPr>
        <w:pStyle w:val="Liststycke"/>
        <w:ind w:left="284"/>
      </w:pPr>
      <w:r w:rsidRPr="00354A35">
        <w:t>Tillväxtverket ska senast den 30 mars 2017 redovisa följande.</w:t>
      </w:r>
    </w:p>
    <w:p w14:paraId="1AF8CEF9" w14:textId="77777777" w:rsidR="00E109CF" w:rsidRDefault="006A6AAC" w:rsidP="00E109CF">
      <w:pPr>
        <w:pStyle w:val="Liststycke"/>
        <w:numPr>
          <w:ilvl w:val="0"/>
          <w:numId w:val="1"/>
        </w:numPr>
        <w:overflowPunct/>
        <w:autoSpaceDE/>
        <w:autoSpaceDN/>
        <w:adjustRightInd/>
        <w:spacing w:line="240" w:lineRule="auto"/>
        <w:ind w:left="284" w:hanging="284"/>
        <w:textAlignment w:val="auto"/>
      </w:pPr>
      <w:r w:rsidRPr="00354A35">
        <w:t>En likviditetsbudget för programmen: Sverige</w:t>
      </w:r>
      <w:r w:rsidRPr="00354A35">
        <w:softHyphen/>
        <w:t>–Norge, Öresund–Kattegatt–Skagerack, Botnia–Atlantica, Nord samt Norra Periferin och Arktis.</w:t>
      </w:r>
    </w:p>
    <w:p w14:paraId="7C034C0A" w14:textId="77777777" w:rsidR="00E109CF" w:rsidRDefault="00E109CF" w:rsidP="00E109CF">
      <w:pPr>
        <w:overflowPunct/>
        <w:autoSpaceDE/>
        <w:autoSpaceDN/>
        <w:adjustRightInd/>
        <w:spacing w:line="240" w:lineRule="auto"/>
        <w:textAlignment w:val="auto"/>
      </w:pPr>
    </w:p>
    <w:p w14:paraId="7E16572A" w14:textId="5628F31C" w:rsidR="006A6AAC" w:rsidRPr="00354A35" w:rsidRDefault="006A6AAC" w:rsidP="00E109CF">
      <w:pPr>
        <w:pStyle w:val="Liststycke"/>
        <w:numPr>
          <w:ilvl w:val="0"/>
          <w:numId w:val="1"/>
        </w:numPr>
        <w:overflowPunct/>
        <w:autoSpaceDE/>
        <w:autoSpaceDN/>
        <w:adjustRightInd/>
        <w:spacing w:line="240" w:lineRule="auto"/>
        <w:ind w:left="284" w:hanging="284"/>
        <w:textAlignment w:val="auto"/>
      </w:pPr>
      <w:r w:rsidRPr="00354A35">
        <w:t xml:space="preserve">Hur beslutade och utbetalda medel för de regionala strukturfondsprogrammen och det nationella regionalfondsprogrammet fördelas i enlighet med de fyra prioriteringar som </w:t>
      </w:r>
      <w:r w:rsidRPr="00E109CF">
        <w:t>regeringen presentera</w:t>
      </w:r>
      <w:r w:rsidR="00E109CF" w:rsidRPr="00E109CF">
        <w:t>de</w:t>
      </w:r>
      <w:r w:rsidRPr="00E109CF">
        <w:t xml:space="preserve"> i </w:t>
      </w:r>
      <w:r w:rsidR="00E109CF" w:rsidRPr="00E109CF">
        <w:t>En nationell strategi för hållbar regional tillväxt och attraktionskraft 2015–2020 (dnr N2015/05297/RT)</w:t>
      </w:r>
      <w:r w:rsidRPr="00E109CF">
        <w:t>. Redovisningen</w:t>
      </w:r>
      <w:r w:rsidRPr="00354A35">
        <w:t xml:space="preserve"> ska omfatta EU-medel, nationell offentlig finansiering uppdelat på kommun, landsting,</w:t>
      </w:r>
      <w:r w:rsidR="001044F7" w:rsidRPr="00354A35">
        <w:t xml:space="preserve"> </w:t>
      </w:r>
      <w:r w:rsidRPr="00354A35">
        <w:t>statlig och övrig offentlig finansiering samt privat finansiering.</w:t>
      </w:r>
    </w:p>
    <w:p w14:paraId="3A1AD634" w14:textId="77777777" w:rsidR="006A6AAC" w:rsidRPr="00354A35" w:rsidRDefault="006A6AAC" w:rsidP="006A6AAC">
      <w:pPr>
        <w:pStyle w:val="Liststycke"/>
        <w:ind w:left="284" w:hanging="284"/>
      </w:pPr>
    </w:p>
    <w:p w14:paraId="32984AC1" w14:textId="77777777" w:rsidR="006A6AAC" w:rsidRPr="00354A35" w:rsidRDefault="006A6AAC" w:rsidP="006A6AAC">
      <w:r w:rsidRPr="00354A35">
        <w:t>Tillväxtverket ska för de åtta regionala programmen, det nationella programmet och de territoriella samarbetsprogram som förvaltas i Sverige senast den 30 mars 2017 redovisa följande per program.</w:t>
      </w:r>
    </w:p>
    <w:p w14:paraId="17789AFE" w14:textId="6C1E61F5"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Beslutade och utbetalda EU-medel fördelat på, tematiska mål, investeringsprioriteringar och kommissionens insatskategorier samt i förekommande fall Hållbar stadsutveckling</w:t>
      </w:r>
      <w:r w:rsidR="009C5D16" w:rsidRPr="00354A35">
        <w:t>.</w:t>
      </w:r>
    </w:p>
    <w:p w14:paraId="08DEC3B1" w14:textId="77777777" w:rsidR="006A6AAC" w:rsidRPr="00354A35" w:rsidRDefault="006A6AAC" w:rsidP="006A6AAC">
      <w:pPr>
        <w:pStyle w:val="Liststycke"/>
        <w:ind w:left="284" w:hanging="284"/>
      </w:pPr>
    </w:p>
    <w:p w14:paraId="6506005E" w14:textId="64A0D482"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Inbetalningar från kommissionen samt en analys utifrån EU:s regelverk om automatiskt återtagande.</w:t>
      </w:r>
    </w:p>
    <w:p w14:paraId="3248F04A" w14:textId="77777777" w:rsidR="006A6AAC" w:rsidRPr="00354A35" w:rsidRDefault="006A6AAC" w:rsidP="006A6AAC">
      <w:pPr>
        <w:pStyle w:val="Liststycke"/>
        <w:ind w:left="284" w:hanging="284"/>
      </w:pPr>
    </w:p>
    <w:p w14:paraId="33370E11" w14:textId="09057DA2" w:rsidR="006A6AAC" w:rsidRPr="00354A35" w:rsidRDefault="00107B59" w:rsidP="006A6AAC">
      <w:pPr>
        <w:pStyle w:val="Liststycke"/>
        <w:numPr>
          <w:ilvl w:val="0"/>
          <w:numId w:val="1"/>
        </w:numPr>
        <w:overflowPunct/>
        <w:autoSpaceDE/>
        <w:autoSpaceDN/>
        <w:adjustRightInd/>
        <w:spacing w:line="240" w:lineRule="auto"/>
        <w:ind w:left="284" w:hanging="284"/>
        <w:textAlignment w:val="auto"/>
      </w:pPr>
      <w:r w:rsidRPr="00354A35">
        <w:t xml:space="preserve">Förväntade och uppnådda resultat för </w:t>
      </w:r>
      <w:r w:rsidR="006A6AAC" w:rsidRPr="00354A35">
        <w:t xml:space="preserve">programmens aktivitetsindikatorer. </w:t>
      </w:r>
    </w:p>
    <w:p w14:paraId="62236B14" w14:textId="77777777" w:rsidR="006A6AAC" w:rsidRPr="00354A35" w:rsidRDefault="006A6AAC" w:rsidP="006A6AAC">
      <w:pPr>
        <w:pStyle w:val="Liststycke"/>
        <w:ind w:left="284" w:hanging="284"/>
      </w:pPr>
    </w:p>
    <w:p w14:paraId="03CFD45B" w14:textId="2F5923E2"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lastRenderedPageBreak/>
        <w:t xml:space="preserve">Den beslutade och utbetalade nationella medfinansieringen, fördelat på statlig medfinansiering, med särredovisning av finansiering från länsstyrelserna, berörda landsting, </w:t>
      </w:r>
      <w:r w:rsidR="001044F7" w:rsidRPr="00354A35">
        <w:t>Gotlands</w:t>
      </w:r>
      <w:r w:rsidRPr="00354A35">
        <w:t xml:space="preserve"> kommun och</w:t>
      </w:r>
      <w:r w:rsidR="001044F7" w:rsidRPr="00354A35">
        <w:t xml:space="preserve"> </w:t>
      </w:r>
      <w:r w:rsidRPr="00354A35">
        <w:t xml:space="preserve">samverkansorgan från anslaget 1:1 Regionala tillväxtåtgärder inom utgiftsområde 19 Regional tillväxt. Vidare ska den svenska medfinansieringen fördelas på övrig finansiering från kommuner, samverkansorgan och övrig statlig finansiering samt privat finansiering. Myndigheten ska även redovisa de 20 största medfinansiärerna. Detta gäller inte Norra Periferin och Arktis. </w:t>
      </w:r>
    </w:p>
    <w:p w14:paraId="571264B9" w14:textId="77777777" w:rsidR="006A6AAC" w:rsidRPr="00354A35" w:rsidRDefault="006A6AAC" w:rsidP="006A6AAC">
      <w:pPr>
        <w:pStyle w:val="Liststycke"/>
        <w:ind w:left="284" w:hanging="284"/>
      </w:pPr>
    </w:p>
    <w:p w14:paraId="77AEF9DA"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 xml:space="preserve">Prognoser över besluten. Detta gäller enbart de åtta regionala programmen och det nationella programmet. </w:t>
      </w:r>
    </w:p>
    <w:p w14:paraId="0EB40893" w14:textId="77777777" w:rsidR="006A6AAC" w:rsidRPr="00354A35" w:rsidRDefault="006A6AAC" w:rsidP="006A6AAC">
      <w:pPr>
        <w:pStyle w:val="Liststycke"/>
        <w:ind w:left="284" w:hanging="284"/>
      </w:pPr>
    </w:p>
    <w:p w14:paraId="2BB9A3EE" w14:textId="7B842498"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 xml:space="preserve">Exempel på innehåll i de olika programmen, vilka typer av projekt som genomförs och slutsatser från dessa samt redovisning av hur programmen bidrar till de horisontella kriterierna, miljö, jämställdhet och integration. </w:t>
      </w:r>
    </w:p>
    <w:p w14:paraId="0BD2A19A" w14:textId="77777777" w:rsidR="006A6AAC" w:rsidRPr="00354A35" w:rsidRDefault="006A6AAC" w:rsidP="006A6AAC">
      <w:pPr>
        <w:ind w:left="284" w:hanging="284"/>
      </w:pPr>
    </w:p>
    <w:p w14:paraId="2A8E5701" w14:textId="77777777" w:rsidR="006A6AAC" w:rsidRPr="00354A35" w:rsidRDefault="006A6AAC" w:rsidP="006A6AAC">
      <w:pPr>
        <w:ind w:left="284" w:hanging="284"/>
      </w:pPr>
    </w:p>
    <w:p w14:paraId="31AC94D6" w14:textId="128944B0" w:rsidR="006A6AAC" w:rsidRPr="00354A35" w:rsidRDefault="006A6AAC" w:rsidP="006A6AAC">
      <w:pPr>
        <w:ind w:left="284" w:hanging="284"/>
      </w:pPr>
      <w:r w:rsidRPr="00354A35">
        <w:t>2.2 Tillväxtverket</w:t>
      </w:r>
      <w:bookmarkStart w:id="0" w:name="_GoBack"/>
      <w:bookmarkEnd w:id="0"/>
      <w:r w:rsidRPr="00354A35">
        <w:t xml:space="preserve"> ska senast den 30 mars och den 10 oktober 2017 redovisa beslutade respektive utbetalda EU-medel för samtliga territoriella samarbetsprogram som Sverige deltar i som inte förvaltas i Sverige. </w:t>
      </w:r>
    </w:p>
    <w:p w14:paraId="44D6968E" w14:textId="77777777" w:rsidR="006A6AAC" w:rsidRPr="00354A35" w:rsidRDefault="006A6AAC" w:rsidP="006A6AAC">
      <w:pPr>
        <w:ind w:left="284" w:hanging="284"/>
      </w:pPr>
    </w:p>
    <w:p w14:paraId="775AA3FE" w14:textId="77777777" w:rsidR="006A6AAC" w:rsidRPr="00354A35" w:rsidRDefault="006A6AAC" w:rsidP="006A6AAC">
      <w:r w:rsidRPr="00354A35">
        <w:t>Tillväxtverket ska dessutom för dessa program senast den 30 mars 2017 redovisa:</w:t>
      </w:r>
    </w:p>
    <w:p w14:paraId="6B524261" w14:textId="09C268A6"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Inbetalningar från kommissionen.</w:t>
      </w:r>
    </w:p>
    <w:p w14:paraId="4DC96DDC" w14:textId="0235701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Beslutade och utbetalda EU-medel fördelat på kommissionens tematiska mål.</w:t>
      </w:r>
      <w:r w:rsidRPr="00354A35" w:rsidDel="005B1449">
        <w:t xml:space="preserve"> </w:t>
      </w:r>
    </w:p>
    <w:p w14:paraId="43887D0B" w14:textId="0B11C9EC" w:rsidR="006A6AAC" w:rsidRPr="00354A35" w:rsidRDefault="009C5D16" w:rsidP="006A6AAC">
      <w:pPr>
        <w:pStyle w:val="Liststycke"/>
        <w:numPr>
          <w:ilvl w:val="0"/>
          <w:numId w:val="1"/>
        </w:numPr>
        <w:overflowPunct/>
        <w:autoSpaceDE/>
        <w:autoSpaceDN/>
        <w:adjustRightInd/>
        <w:spacing w:line="240" w:lineRule="auto"/>
        <w:ind w:left="284" w:hanging="284"/>
        <w:textAlignment w:val="auto"/>
      </w:pPr>
      <w:r w:rsidRPr="00354A35">
        <w:t>M</w:t>
      </w:r>
      <w:r w:rsidR="006A6AAC" w:rsidRPr="00354A35">
        <w:t>ål och utfall för gemensamma aktivitetsindikatorer om sådana används.</w:t>
      </w:r>
    </w:p>
    <w:p w14:paraId="6631ECF4"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 xml:space="preserve">Antal och andel svenska </w:t>
      </w:r>
      <w:proofErr w:type="spellStart"/>
      <w:r w:rsidRPr="00354A35">
        <w:t>leadpartner</w:t>
      </w:r>
      <w:proofErr w:type="spellEnd"/>
      <w:r w:rsidRPr="00354A35">
        <w:t xml:space="preserve"> och projektparter fördelat på kommissionens tematiska mål.</w:t>
      </w:r>
    </w:p>
    <w:p w14:paraId="245C444E" w14:textId="4FE5EC1D"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Exempel på innehåll i de olika programmen</w:t>
      </w:r>
      <w:r w:rsidR="009C5D16" w:rsidRPr="00354A35">
        <w:t xml:space="preserve"> och</w:t>
      </w:r>
      <w:r w:rsidRPr="00354A35">
        <w:t xml:space="preserve"> vilka typer av projekt som genomförs med svenskt deltagande.</w:t>
      </w:r>
    </w:p>
    <w:p w14:paraId="02B51AE3" w14:textId="77777777" w:rsidR="006A6AAC" w:rsidRPr="00354A35" w:rsidRDefault="006A6AAC" w:rsidP="006A6AAC">
      <w:pPr>
        <w:ind w:left="284"/>
      </w:pPr>
    </w:p>
    <w:p w14:paraId="78D532EE" w14:textId="77777777" w:rsidR="006A6AAC" w:rsidRPr="00354A35" w:rsidRDefault="006A6AAC" w:rsidP="006A6AAC">
      <w:pPr>
        <w:pStyle w:val="Liststycke"/>
        <w:overflowPunct/>
        <w:autoSpaceDE/>
        <w:autoSpaceDN/>
        <w:adjustRightInd/>
        <w:spacing w:line="240" w:lineRule="auto"/>
        <w:ind w:left="644"/>
        <w:textAlignment w:val="auto"/>
      </w:pPr>
    </w:p>
    <w:p w14:paraId="260FC4B5" w14:textId="6A6614B4" w:rsidR="006A6AAC" w:rsidRPr="00354A35" w:rsidRDefault="006A6AAC" w:rsidP="006A6AAC">
      <w:pPr>
        <w:ind w:left="284" w:hanging="284"/>
      </w:pPr>
      <w:r w:rsidRPr="00354A35">
        <w:t>2.3 Tillväxtverket ska, för aktuella regionala program, till Post- och telestyrelsen redovisa</w:t>
      </w:r>
      <w:r w:rsidR="004D7CB4" w:rsidRPr="00354A35">
        <w:t>:</w:t>
      </w:r>
    </w:p>
    <w:p w14:paraId="45FA220E" w14:textId="4F024D81"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Prognos avseende behovet av bredbandsstöd för ortssammanbindande nät 201</w:t>
      </w:r>
      <w:r w:rsidR="00416CFD">
        <w:t>7–2018</w:t>
      </w:r>
      <w:r w:rsidRPr="00354A35">
        <w:t>.</w:t>
      </w:r>
    </w:p>
    <w:p w14:paraId="27F945CF" w14:textId="77777777" w:rsidR="006A6AAC" w:rsidRPr="00354A35" w:rsidRDefault="006A6AAC" w:rsidP="006A6AAC">
      <w:pPr>
        <w:pStyle w:val="Liststycke"/>
        <w:ind w:left="284" w:hanging="284"/>
      </w:pPr>
    </w:p>
    <w:p w14:paraId="20F7DE0F" w14:textId="77777777" w:rsidR="006A6AAC" w:rsidRPr="00354A35" w:rsidRDefault="006A6AAC" w:rsidP="006A6AAC">
      <w:pPr>
        <w:pStyle w:val="Liststycke"/>
        <w:numPr>
          <w:ilvl w:val="0"/>
          <w:numId w:val="1"/>
        </w:numPr>
        <w:overflowPunct/>
        <w:autoSpaceDE/>
        <w:autoSpaceDN/>
        <w:adjustRightInd/>
        <w:spacing w:line="240" w:lineRule="auto"/>
        <w:ind w:left="284" w:hanging="284"/>
        <w:textAlignment w:val="auto"/>
      </w:pPr>
      <w:r w:rsidRPr="00354A35">
        <w:t xml:space="preserve">Beslutade och utbetalda EU-medel avseende investeringar i bredbandsinfrastruktur. Redovisningen ska avse såväl medel från Europeiska regionala utvecklingsfonden som nationell medfinansiering fördelat på offentlig och privat medfinansiering. </w:t>
      </w:r>
    </w:p>
    <w:p w14:paraId="600EA057" w14:textId="77777777" w:rsidR="006A6AAC" w:rsidRPr="00354A35" w:rsidRDefault="006A6AAC" w:rsidP="006A6AAC">
      <w:pPr>
        <w:pStyle w:val="Liststycke"/>
        <w:ind w:left="284"/>
      </w:pPr>
    </w:p>
    <w:p w14:paraId="2C2A20F8" w14:textId="77777777" w:rsidR="006A6AAC" w:rsidRDefault="006A6AAC" w:rsidP="006A6AAC">
      <w:pPr>
        <w:pStyle w:val="Liststycke"/>
        <w:ind w:left="284"/>
      </w:pPr>
      <w:r w:rsidRPr="00354A35">
        <w:t>Redovisning av första och andra strecksatsen ska ske till Post- och telestyrelsen enligt deras riktlinjer senast den 2 februari och av den andra strecksatsen även den 1 september 2017.</w:t>
      </w:r>
    </w:p>
    <w:p w14:paraId="2E97D5E7" w14:textId="77777777" w:rsidR="00605F66" w:rsidRDefault="00605F66" w:rsidP="006A6AAC"/>
    <w:sectPr w:rsidR="00605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OriginalGaramondB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0D03"/>
    <w:multiLevelType w:val="hybridMultilevel"/>
    <w:tmpl w:val="55B2E6C4"/>
    <w:lvl w:ilvl="0" w:tplc="1A78EE7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0AC"/>
    <w:rsid w:val="001044F7"/>
    <w:rsid w:val="00107B59"/>
    <w:rsid w:val="0015355C"/>
    <w:rsid w:val="00171696"/>
    <w:rsid w:val="001E2A31"/>
    <w:rsid w:val="00242DA0"/>
    <w:rsid w:val="00255C58"/>
    <w:rsid w:val="00354A35"/>
    <w:rsid w:val="00356DC3"/>
    <w:rsid w:val="00397ECA"/>
    <w:rsid w:val="003E6A45"/>
    <w:rsid w:val="00416CFD"/>
    <w:rsid w:val="00486BF1"/>
    <w:rsid w:val="004A0042"/>
    <w:rsid w:val="004D7CB4"/>
    <w:rsid w:val="005155C7"/>
    <w:rsid w:val="005557A2"/>
    <w:rsid w:val="005750AC"/>
    <w:rsid w:val="00605F66"/>
    <w:rsid w:val="006131AF"/>
    <w:rsid w:val="00640688"/>
    <w:rsid w:val="00673E65"/>
    <w:rsid w:val="006A6AAC"/>
    <w:rsid w:val="006F0D89"/>
    <w:rsid w:val="00715406"/>
    <w:rsid w:val="00740FCD"/>
    <w:rsid w:val="007C4514"/>
    <w:rsid w:val="009625E5"/>
    <w:rsid w:val="009A3206"/>
    <w:rsid w:val="009C5D16"/>
    <w:rsid w:val="009F4F0A"/>
    <w:rsid w:val="009F50C2"/>
    <w:rsid w:val="00AD7751"/>
    <w:rsid w:val="00BA25B4"/>
    <w:rsid w:val="00C46BC8"/>
    <w:rsid w:val="00C70E1A"/>
    <w:rsid w:val="00D82F8A"/>
    <w:rsid w:val="00DF3EFD"/>
    <w:rsid w:val="00E109CF"/>
    <w:rsid w:val="00EA2EDC"/>
    <w:rsid w:val="00F367F0"/>
    <w:rsid w:val="00F46FF7"/>
    <w:rsid w:val="00F87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A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50AC"/>
    <w:pPr>
      <w:ind w:left="720"/>
      <w:contextualSpacing/>
    </w:pPr>
  </w:style>
  <w:style w:type="paragraph" w:styleId="Ballongtext">
    <w:name w:val="Balloon Text"/>
    <w:basedOn w:val="Normal"/>
    <w:link w:val="BallongtextChar"/>
    <w:uiPriority w:val="99"/>
    <w:semiHidden/>
    <w:unhideWhenUsed/>
    <w:rsid w:val="00255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C58"/>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397ECA"/>
    <w:rPr>
      <w:sz w:val="16"/>
      <w:szCs w:val="16"/>
    </w:rPr>
  </w:style>
  <w:style w:type="paragraph" w:styleId="Kommentarer">
    <w:name w:val="annotation text"/>
    <w:basedOn w:val="Normal"/>
    <w:link w:val="KommentarerChar"/>
    <w:uiPriority w:val="99"/>
    <w:semiHidden/>
    <w:unhideWhenUsed/>
    <w:rsid w:val="00397ECA"/>
    <w:pPr>
      <w:spacing w:line="240" w:lineRule="auto"/>
    </w:pPr>
    <w:rPr>
      <w:sz w:val="20"/>
    </w:rPr>
  </w:style>
  <w:style w:type="character" w:customStyle="1" w:styleId="KommentarerChar">
    <w:name w:val="Kommentarer Char"/>
    <w:basedOn w:val="Standardstycketeckensnitt"/>
    <w:link w:val="Kommentarer"/>
    <w:uiPriority w:val="99"/>
    <w:semiHidden/>
    <w:rsid w:val="00397EC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97ECA"/>
    <w:rPr>
      <w:b/>
      <w:bCs/>
    </w:rPr>
  </w:style>
  <w:style w:type="character" w:customStyle="1" w:styleId="KommentarsmneChar">
    <w:name w:val="Kommentarsämne Char"/>
    <w:basedOn w:val="KommentarerChar"/>
    <w:link w:val="Kommentarsmne"/>
    <w:uiPriority w:val="99"/>
    <w:semiHidden/>
    <w:rsid w:val="00397ECA"/>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A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50AC"/>
    <w:pPr>
      <w:ind w:left="720"/>
      <w:contextualSpacing/>
    </w:pPr>
  </w:style>
  <w:style w:type="paragraph" w:styleId="Ballongtext">
    <w:name w:val="Balloon Text"/>
    <w:basedOn w:val="Normal"/>
    <w:link w:val="BallongtextChar"/>
    <w:uiPriority w:val="99"/>
    <w:semiHidden/>
    <w:unhideWhenUsed/>
    <w:rsid w:val="00255C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5C58"/>
    <w:rPr>
      <w:rFonts w:ascii="Tahoma" w:eastAsia="Times New Roman" w:hAnsi="Tahoma" w:cs="Tahoma"/>
      <w:sz w:val="16"/>
      <w:szCs w:val="16"/>
    </w:rPr>
  </w:style>
  <w:style w:type="character" w:styleId="Kommentarsreferens">
    <w:name w:val="annotation reference"/>
    <w:basedOn w:val="Standardstycketeckensnitt"/>
    <w:uiPriority w:val="99"/>
    <w:semiHidden/>
    <w:unhideWhenUsed/>
    <w:rsid w:val="00397ECA"/>
    <w:rPr>
      <w:sz w:val="16"/>
      <w:szCs w:val="16"/>
    </w:rPr>
  </w:style>
  <w:style w:type="paragraph" w:styleId="Kommentarer">
    <w:name w:val="annotation text"/>
    <w:basedOn w:val="Normal"/>
    <w:link w:val="KommentarerChar"/>
    <w:uiPriority w:val="99"/>
    <w:semiHidden/>
    <w:unhideWhenUsed/>
    <w:rsid w:val="00397ECA"/>
    <w:pPr>
      <w:spacing w:line="240" w:lineRule="auto"/>
    </w:pPr>
    <w:rPr>
      <w:sz w:val="20"/>
    </w:rPr>
  </w:style>
  <w:style w:type="character" w:customStyle="1" w:styleId="KommentarerChar">
    <w:name w:val="Kommentarer Char"/>
    <w:basedOn w:val="Standardstycketeckensnitt"/>
    <w:link w:val="Kommentarer"/>
    <w:uiPriority w:val="99"/>
    <w:semiHidden/>
    <w:rsid w:val="00397EC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97ECA"/>
    <w:rPr>
      <w:b/>
      <w:bCs/>
    </w:rPr>
  </w:style>
  <w:style w:type="character" w:customStyle="1" w:styleId="KommentarsmneChar">
    <w:name w:val="Kommentarsämne Char"/>
    <w:basedOn w:val="KommentarerChar"/>
    <w:link w:val="Kommentarsmne"/>
    <w:uiPriority w:val="99"/>
    <w:semiHidden/>
    <w:rsid w:val="00397ECA"/>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KOrdnaClass xmlns="71ac2d21-75b1-4854-91b1-f7f081a75803" xsi:nil="true"/>
    <TaxCatchAll xmlns="13ceef10-deb8-4807-ae55-f7be06c82a5e"/>
    <RKOrdnaCheckInComment xmlns="71ac2d21-75b1-4854-91b1-f7f081a75803" xsi:nil="true"/>
    <k46d94c0acf84ab9a79866a9d8b1905f xmlns="13ceef10-deb8-4807-ae55-f7be06c82a5e" xsi:nil="true"/>
    <Nyckelord xmlns="13ceef10-deb8-4807-ae55-f7be06c82a5e" xsi:nil="true"/>
    <Sekretess xmlns="13ceef10-deb8-4807-ae55-f7be06c82a5e">false</Sekretess>
    <Diarienummer xmlns="13ceef10-deb8-4807-ae55-f7be06c82a5e" xsi:nil="true"/>
    <c9cd366cc722410295b9eacffbd73909 xmlns="13ceef10-deb8-4807-ae55-f7be06c82a5e" xsi:nil="true"/>
    <_dlc_DocId xmlns="13ceef10-deb8-4807-ae55-f7be06c82a5e">7RFFCCXC35A4-95-1512</_dlc_DocId>
    <_dlc_DocIdUrl xmlns="13ceef10-deb8-4807-ae55-f7be06c82a5e">
      <Url>http://rkdhs-n/enhet/avdht/ff/_layouts/DocIdRedir.aspx?ID=7RFFCCXC35A4-95-1512</Url>
      <Description>7RFFCCXC35A4-95-1512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3763A65C0B849E499EE887FAA2DFC473" ma:contentTypeVersion="9" ma:contentTypeDescription="Skapa ett nytt dokument." ma:contentTypeScope="" ma:versionID="aacb9620c7270c296d36b89ec06cb7a6">
  <xsd:schema xmlns:xsd="http://www.w3.org/2001/XMLSchema" xmlns:xs="http://www.w3.org/2001/XMLSchema" xmlns:p="http://schemas.microsoft.com/office/2006/metadata/properties" xmlns:ns2="13ceef10-deb8-4807-ae55-f7be06c82a5e" xmlns:ns3="71ac2d21-75b1-4854-91b1-f7f081a75803" targetNamespace="http://schemas.microsoft.com/office/2006/metadata/properties" ma:root="true" ma:fieldsID="b252efe3d0041eb7ffc06abbb3dc2f56" ns2:_="" ns3:_="">
    <xsd:import namespace="13ceef10-deb8-4807-ae55-f7be06c82a5e"/>
    <xsd:import namespace="71ac2d21-75b1-4854-91b1-f7f081a758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6127f1e3-aee7-4cba-a594-81c2bd3df8cb}" ma:internalName="TaxCatchAll" ma:showField="CatchAllData"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127f1e3-aee7-4cba-a594-81c2bd3df8cb}" ma:internalName="TaxCatchAllLabel" ma:readOnly="true" ma:showField="CatchAllDataLabel" ma:web="13ceef10-deb8-4807-ae55-f7be06c82a5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element name="Diarienummer" ma:index="17" nillable="true" ma:displayName="Diarienummer" ma:internalName="Diarienummer">
      <xsd:simpleType>
        <xsd:restriction base="dms:Text"/>
      </xsd:simpleType>
    </xsd:element>
    <xsd:element name="Nyckelord" ma:index="18" nillable="true" ma:displayName="Nyckelord"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ac2d21-75b1-4854-91b1-f7f081a758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34142-D6B6-4EA5-B285-0252A49D0E9C}">
  <ds:schemaRefs>
    <ds:schemaRef ds:uri="http://schemas.microsoft.com/office/2006/metadata/customXsn"/>
  </ds:schemaRefs>
</ds:datastoreItem>
</file>

<file path=customXml/itemProps2.xml><?xml version="1.0" encoding="utf-8"?>
<ds:datastoreItem xmlns:ds="http://schemas.openxmlformats.org/officeDocument/2006/customXml" ds:itemID="{10F58EBA-4CEC-4B47-B32B-62545CAF3A54}">
  <ds:schemaRefs>
    <ds:schemaRef ds:uri="http://schemas.microsoft.com/sharepoint/events"/>
  </ds:schemaRefs>
</ds:datastoreItem>
</file>

<file path=customXml/itemProps3.xml><?xml version="1.0" encoding="utf-8"?>
<ds:datastoreItem xmlns:ds="http://schemas.openxmlformats.org/officeDocument/2006/customXml" ds:itemID="{C3CD03B9-49AA-44AF-88C9-4DC0BA010981}">
  <ds:schemaRefs>
    <ds:schemaRef ds:uri="http://schemas.openxmlformats.org/package/2006/metadata/core-properties"/>
    <ds:schemaRef ds:uri="71ac2d21-75b1-4854-91b1-f7f081a75803"/>
    <ds:schemaRef ds:uri="http://schemas.microsoft.com/office/2006/documentManagement/types"/>
    <ds:schemaRef ds:uri="http://purl.org/dc/elements/1.1/"/>
    <ds:schemaRef ds:uri="13ceef10-deb8-4807-ae55-f7be06c82a5e"/>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831970A-C58A-4560-8163-41395CBCDE67}">
  <ds:schemaRefs>
    <ds:schemaRef ds:uri="http://schemas.microsoft.com/sharepoint/v3/contenttype/forms/url"/>
  </ds:schemaRefs>
</ds:datastoreItem>
</file>

<file path=customXml/itemProps5.xml><?xml version="1.0" encoding="utf-8"?>
<ds:datastoreItem xmlns:ds="http://schemas.openxmlformats.org/officeDocument/2006/customXml" ds:itemID="{97A9D14F-7643-4EBA-A159-0BEAC8F36AA3}">
  <ds:schemaRefs>
    <ds:schemaRef ds:uri="http://schemas.microsoft.com/sharepoint/v3/contenttype/forms"/>
  </ds:schemaRefs>
</ds:datastoreItem>
</file>

<file path=customXml/itemProps6.xml><?xml version="1.0" encoding="utf-8"?>
<ds:datastoreItem xmlns:ds="http://schemas.openxmlformats.org/officeDocument/2006/customXml" ds:itemID="{4300B84E-BEF4-499B-8F3C-A77D52EFD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71ac2d21-75b1-4854-91b1-f7f081a7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3757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Barturén</dc:creator>
  <cp:lastModifiedBy>Håkan Hillefors</cp:lastModifiedBy>
  <cp:revision>4</cp:revision>
  <cp:lastPrinted>2015-12-10T11:08:00Z</cp:lastPrinted>
  <dcterms:created xsi:type="dcterms:W3CDTF">2016-12-19T09:47:00Z</dcterms:created>
  <dcterms:modified xsi:type="dcterms:W3CDTF">2016-12-21T13:49:00Z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0x01010053E1D612BA3F4E21AA250ECD751942B3003763A65C0B849E499EE887FAA2DFC473</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c20d1a99-0cd2-417b-97c6-df9abe8d9ef9</vt:lpwstr>
  </property>
</Properties>
</file>