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0D" w:rsidRDefault="00E7420D" w:rsidP="00E7420D">
      <w:pPr>
        <w:pStyle w:val="TabellRubrik"/>
      </w:pPr>
      <w:bookmarkStart w:id="0" w:name="_Ref490047623"/>
      <w:bookmarkStart w:id="1" w:name="_Toc492998046"/>
      <w:bookmarkStart w:id="2" w:name="_Toc493146505"/>
      <w:r>
        <w:t>Investeringsplan</w:t>
      </w:r>
      <w:bookmarkEnd w:id="0"/>
      <w:r>
        <w:t xml:space="preserve"> för SFV 2018–202</w:t>
      </w:r>
      <w:bookmarkEnd w:id="1"/>
      <w:bookmarkEnd w:id="2"/>
      <w:r w:rsidR="002F1AFF">
        <w:t>0</w:t>
      </w:r>
    </w:p>
    <w:p w:rsidR="00E7420D" w:rsidRDefault="00E7420D" w:rsidP="00E7420D">
      <w:pPr>
        <w:pStyle w:val="TabellUnderrubrik"/>
      </w:pPr>
      <w:r>
        <w:t>Miljoner</w:t>
      </w:r>
      <w:r w:rsidRPr="00086036">
        <w:t xml:space="preserve"> kronor</w:t>
      </w:r>
    </w:p>
    <w:tbl>
      <w:tblPr>
        <w:tblW w:w="90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16"/>
        <w:gridCol w:w="1287"/>
        <w:gridCol w:w="1289"/>
        <w:gridCol w:w="1287"/>
        <w:gridCol w:w="1289"/>
        <w:gridCol w:w="1287"/>
      </w:tblGrid>
      <w:tr w:rsidR="00E7420D" w:rsidTr="00D93656">
        <w:trPr>
          <w:cantSplit/>
        </w:trPr>
        <w:tc>
          <w:tcPr>
            <w:tcW w:w="261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E7420D" w:rsidRDefault="00E7420D" w:rsidP="00D93656">
            <w:pPr>
              <w:pStyle w:val="TabellHuvud"/>
              <w:keepNext/>
              <w:keepLines/>
              <w:spacing w:after="20"/>
              <w:jc w:val="left"/>
            </w:pPr>
          </w:p>
        </w:tc>
        <w:tc>
          <w:tcPr>
            <w:tcW w:w="1287" w:type="dxa"/>
            <w:tcBorders>
              <w:bottom w:val="single" w:sz="18" w:space="0" w:color="auto"/>
            </w:tcBorders>
          </w:tcPr>
          <w:p w:rsidR="00E7420D" w:rsidRDefault="00E7420D" w:rsidP="00D93656">
            <w:pPr>
              <w:pStyle w:val="TabellHuvud"/>
              <w:keepNext/>
              <w:keepLines/>
              <w:spacing w:after="20"/>
            </w:pPr>
            <w:r>
              <w:t>Utfall</w:t>
            </w:r>
            <w:r>
              <w:br/>
              <w:t>2016</w:t>
            </w:r>
          </w:p>
        </w:tc>
        <w:tc>
          <w:tcPr>
            <w:tcW w:w="1289" w:type="dxa"/>
            <w:tcBorders>
              <w:bottom w:val="single" w:sz="18" w:space="0" w:color="auto"/>
            </w:tcBorders>
          </w:tcPr>
          <w:p w:rsidR="00E7420D" w:rsidRDefault="00E7420D" w:rsidP="00D93656">
            <w:pPr>
              <w:pStyle w:val="TabellHuvud"/>
              <w:keepNext/>
              <w:keepLines/>
              <w:spacing w:after="20"/>
            </w:pPr>
            <w:r>
              <w:t>Prognos</w:t>
            </w:r>
            <w:r>
              <w:br/>
              <w:t>2017</w:t>
            </w:r>
          </w:p>
        </w:tc>
        <w:tc>
          <w:tcPr>
            <w:tcW w:w="1287" w:type="dxa"/>
            <w:tcBorders>
              <w:bottom w:val="single" w:sz="18" w:space="0" w:color="auto"/>
            </w:tcBorders>
          </w:tcPr>
          <w:p w:rsidR="00E7420D" w:rsidRDefault="00E7420D" w:rsidP="00D93656">
            <w:pPr>
              <w:pStyle w:val="TabellHuvud"/>
              <w:keepNext/>
              <w:keepLines/>
              <w:spacing w:after="20"/>
            </w:pPr>
            <w:r>
              <w:t>Budget</w:t>
            </w:r>
            <w:r>
              <w:br/>
              <w:t>2018</w:t>
            </w:r>
          </w:p>
        </w:tc>
        <w:tc>
          <w:tcPr>
            <w:tcW w:w="1289" w:type="dxa"/>
            <w:tcBorders>
              <w:bottom w:val="single" w:sz="18" w:space="0" w:color="auto"/>
            </w:tcBorders>
          </w:tcPr>
          <w:p w:rsidR="00E7420D" w:rsidRDefault="00E7420D" w:rsidP="00D93656">
            <w:pPr>
              <w:pStyle w:val="TabellHuvud"/>
              <w:keepNext/>
              <w:keepLines/>
              <w:spacing w:after="20"/>
            </w:pPr>
            <w:r>
              <w:t>Beräknat</w:t>
            </w:r>
            <w:r>
              <w:br/>
              <w:t>2019</w:t>
            </w:r>
          </w:p>
        </w:tc>
        <w:tc>
          <w:tcPr>
            <w:tcW w:w="1287" w:type="dxa"/>
            <w:tcBorders>
              <w:bottom w:val="single" w:sz="18" w:space="0" w:color="auto"/>
            </w:tcBorders>
          </w:tcPr>
          <w:p w:rsidR="00E7420D" w:rsidRDefault="00E7420D" w:rsidP="00D93656">
            <w:pPr>
              <w:pStyle w:val="TabellHuvud"/>
              <w:keepNext/>
              <w:keepLines/>
              <w:spacing w:after="20"/>
            </w:pPr>
            <w:r>
              <w:t>Beräknat</w:t>
            </w:r>
            <w:r>
              <w:br/>
              <w:t>2020</w:t>
            </w:r>
          </w:p>
        </w:tc>
      </w:tr>
      <w:tr w:rsidR="00E7420D" w:rsidTr="00D93656">
        <w:trPr>
          <w:cantSplit/>
        </w:trPr>
        <w:tc>
          <w:tcPr>
            <w:tcW w:w="3903" w:type="dxa"/>
            <w:gridSpan w:val="2"/>
            <w:tcBorders>
              <w:top w:val="single" w:sz="18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rPr>
                <w:b/>
              </w:rPr>
              <w:t>Anskaffning och utveckling av nya investeringar</w:t>
            </w:r>
          </w:p>
        </w:tc>
        <w:tc>
          <w:tcPr>
            <w:tcW w:w="1289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Marknadshyresfastighet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8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29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56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103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70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Mark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7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14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15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11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>Summa utgifter för anskaffning och utveckling av nya investeringar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43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71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114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81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A40CBA" w:rsidRDefault="00E7420D" w:rsidP="00D93656">
            <w:pPr>
              <w:pStyle w:val="TabellRader"/>
              <w:keepNext/>
              <w:keepLines/>
              <w:jc w:val="left"/>
              <w:rPr>
                <w:i/>
              </w:rPr>
            </w:pPr>
            <w:r w:rsidRPr="00A40CBA">
              <w:rPr>
                <w:i/>
              </w:rPr>
              <w:t xml:space="preserve">Varav investering </w:t>
            </w:r>
            <w:r w:rsidRPr="008A7AA1">
              <w:rPr>
                <w:i/>
              </w:rPr>
              <w:t>av</w:t>
            </w:r>
            <w:r w:rsidRPr="00A40CBA">
              <w:rPr>
                <w:i/>
              </w:rPr>
              <w:t xml:space="preserve"> anläggningstillgångar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CC49C6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A40CBA">
              <w:rPr>
                <w:i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5536A2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5536A2">
              <w:rPr>
                <w:i/>
              </w:rPr>
              <w:t>43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942595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942595">
              <w:rPr>
                <w:i/>
              </w:rPr>
              <w:t>71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A40CBA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A40CBA">
              <w:rPr>
                <w:i/>
              </w:rPr>
              <w:t>114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A40CBA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A40CBA">
              <w:rPr>
                <w:i/>
              </w:rPr>
              <w:t>81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>Finansiering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Övrig kreditram (lån i Riksgäldskontoret)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15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43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71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114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81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>Summa finansiering av anskaffning och utveckling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43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71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114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81</w:t>
            </w:r>
          </w:p>
        </w:tc>
      </w:tr>
      <w:tr w:rsidR="00E7420D" w:rsidTr="00D93656">
        <w:trPr>
          <w:cantSplit/>
        </w:trPr>
        <w:tc>
          <w:tcPr>
            <w:tcW w:w="3903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</w:tr>
      <w:tr w:rsidR="00E7420D" w:rsidTr="00D93656">
        <w:trPr>
          <w:cantSplit/>
        </w:trPr>
        <w:tc>
          <w:tcPr>
            <w:tcW w:w="3903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rPr>
                <w:b/>
              </w:rPr>
              <w:t>Vidmakthållande av befintliga investeringar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Marknadshyresfastighet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938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1 549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1 306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1 126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1 227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Kostnadshyresfastighet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442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462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255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198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70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Bidragsfastigheter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142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150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143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141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137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Mark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36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48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36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30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27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 xml:space="preserve">Summa utgifter för vidmakthållande 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>
              <w:rPr>
                <w:b/>
              </w:rPr>
              <w:t>1 558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2 209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1 7</w:t>
            </w:r>
            <w:r>
              <w:rPr>
                <w:b/>
              </w:rPr>
              <w:t>40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1 495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FC0F1A">
              <w:rPr>
                <w:b/>
              </w:rPr>
              <w:t>1 461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04A6F" w:rsidRDefault="00E7420D" w:rsidP="00D93656">
            <w:pPr>
              <w:pStyle w:val="TabellRader"/>
              <w:keepNext/>
              <w:keepLines/>
              <w:jc w:val="left"/>
              <w:rPr>
                <w:i/>
              </w:rPr>
            </w:pPr>
            <w:r w:rsidRPr="00A40CBA">
              <w:rPr>
                <w:i/>
              </w:rPr>
              <w:t xml:space="preserve">Varav investering av </w:t>
            </w:r>
            <w:r w:rsidRPr="00F04A6F">
              <w:rPr>
                <w:i/>
              </w:rPr>
              <w:t>anläggningstillgångar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04A6F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F04A6F">
              <w:rPr>
                <w:i/>
              </w:rPr>
              <w:t xml:space="preserve">1 </w:t>
            </w:r>
            <w:r w:rsidRPr="00CC49C6">
              <w:rPr>
                <w:i/>
              </w:rPr>
              <w:t>13</w:t>
            </w:r>
            <w:r>
              <w:rPr>
                <w:i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7105FE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A40CBA">
              <w:rPr>
                <w:i/>
              </w:rPr>
              <w:t>1</w:t>
            </w:r>
            <w:r w:rsidRPr="00CC49C6">
              <w:rPr>
                <w:rFonts w:ascii="Times New Roman" w:hAnsi="Times New Roman"/>
                <w:i/>
              </w:rPr>
              <w:t> </w:t>
            </w:r>
            <w:r w:rsidRPr="007105FE">
              <w:rPr>
                <w:i/>
              </w:rPr>
              <w:t>758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5536A2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5536A2">
              <w:rPr>
                <w:i/>
              </w:rPr>
              <w:t>1 291</w:t>
            </w: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942595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942595">
              <w:rPr>
                <w:i/>
              </w:rPr>
              <w:t>1 106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A40CBA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A40CBA">
              <w:rPr>
                <w:i/>
              </w:rPr>
              <w:t>1 091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>Finansiering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7" w:type="dxa"/>
            <w:tcBorders>
              <w:top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Anslag 1:10 Bidragsfastigheter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142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150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143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141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137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Övrig kreditram (lån i Riksgäldskontoret)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1 134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1 758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1 291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1 106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1 091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</w:pPr>
            <w:r w:rsidRPr="00FC0F1A">
              <w:t>Övrig finansiering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282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301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>
              <w:t>3</w:t>
            </w:r>
            <w:r w:rsidRPr="00FC0F1A">
              <w:t>06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248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t>23</w:t>
            </w:r>
            <w:r>
              <w:t>3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 w:rsidRPr="00FC0F1A">
              <w:rPr>
                <w:b/>
              </w:rPr>
              <w:t>Summa finansiering av vidmakthållande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1 558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rPr>
                <w:b/>
              </w:rPr>
              <w:t>2 209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rPr>
                <w:b/>
              </w:rPr>
              <w:t>1 7</w:t>
            </w:r>
            <w:r>
              <w:rPr>
                <w:b/>
              </w:rPr>
              <w:t>40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rPr>
                <w:b/>
              </w:rPr>
              <w:t>1 495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</w:pPr>
            <w:r w:rsidRPr="00FC0F1A">
              <w:rPr>
                <w:b/>
              </w:rPr>
              <w:t>1 46</w:t>
            </w:r>
            <w:r>
              <w:rPr>
                <w:b/>
              </w:rPr>
              <w:t>1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Pr="00FC0F1A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Default="00E7420D" w:rsidP="00D93656">
            <w:pPr>
              <w:pStyle w:val="TabellRader"/>
              <w:keepNext/>
              <w:keepLines/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FC0F1A" w:rsidRDefault="00E7420D" w:rsidP="00D93656">
            <w:pPr>
              <w:pStyle w:val="TabellRader"/>
              <w:keepNext/>
              <w:keepLines/>
              <w:rPr>
                <w:b/>
              </w:rPr>
            </w:pP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7420D" w:rsidRDefault="00E7420D" w:rsidP="00D93656">
            <w:pPr>
              <w:pStyle w:val="TabellRader"/>
              <w:keepNext/>
              <w:keepLines/>
              <w:jc w:val="left"/>
              <w:rPr>
                <w:b/>
              </w:rPr>
            </w:pPr>
            <w:r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EE19FB">
              <w:rPr>
                <w:b/>
              </w:rPr>
              <w:t>1 573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953DB3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953DB3">
              <w:rPr>
                <w:b/>
              </w:rPr>
              <w:t>2 252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953DB3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953DB3">
              <w:rPr>
                <w:b/>
              </w:rPr>
              <w:t>1 811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953DB3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953DB3">
              <w:rPr>
                <w:b/>
              </w:rPr>
              <w:t>1 609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7420D" w:rsidRPr="00953DB3" w:rsidRDefault="00E7420D" w:rsidP="00D93656">
            <w:pPr>
              <w:pStyle w:val="TabellRader"/>
              <w:keepNext/>
              <w:keepLines/>
              <w:rPr>
                <w:b/>
              </w:rPr>
            </w:pPr>
            <w:r w:rsidRPr="00953DB3">
              <w:rPr>
                <w:b/>
              </w:rPr>
              <w:t>1 542</w:t>
            </w:r>
          </w:p>
        </w:tc>
      </w:tr>
      <w:tr w:rsidR="00E7420D" w:rsidTr="00D93656">
        <w:trPr>
          <w:cantSplit/>
        </w:trPr>
        <w:tc>
          <w:tcPr>
            <w:tcW w:w="2616" w:type="dxa"/>
            <w:tcBorders>
              <w:top w:val="single" w:sz="6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E7420D" w:rsidRPr="00EE19FB" w:rsidRDefault="00E7420D" w:rsidP="00D93656">
            <w:pPr>
              <w:pStyle w:val="TabellRader"/>
              <w:keepNext/>
              <w:keepLines/>
              <w:jc w:val="left"/>
              <w:rPr>
                <w:i/>
              </w:rPr>
            </w:pPr>
            <w:r w:rsidRPr="00EE19FB">
              <w:rPr>
                <w:i/>
              </w:rPr>
              <w:t>Totalt varav investeringar i anläggningstillgångar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EE19FB">
              <w:rPr>
                <w:i/>
              </w:rPr>
              <w:t>1 14</w:t>
            </w:r>
            <w:r>
              <w:rPr>
                <w:i/>
              </w:rPr>
              <w:t>9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EE19FB">
              <w:rPr>
                <w:i/>
              </w:rPr>
              <w:t>1 801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EE19FB">
              <w:rPr>
                <w:i/>
              </w:rPr>
              <w:t>1 362</w:t>
            </w:r>
          </w:p>
        </w:tc>
        <w:tc>
          <w:tcPr>
            <w:tcW w:w="1289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EE19FB">
              <w:rPr>
                <w:i/>
              </w:rPr>
              <w:t>1 220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E7420D" w:rsidRPr="00EE19FB" w:rsidRDefault="00E7420D" w:rsidP="00D93656">
            <w:pPr>
              <w:pStyle w:val="TabellRader"/>
              <w:keepNext/>
              <w:keepLines/>
              <w:rPr>
                <w:i/>
              </w:rPr>
            </w:pPr>
            <w:r w:rsidRPr="00EE19FB">
              <w:rPr>
                <w:i/>
              </w:rPr>
              <w:t>1 172</w:t>
            </w:r>
          </w:p>
        </w:tc>
      </w:tr>
    </w:tbl>
    <w:p w:rsidR="0003679E" w:rsidRPr="00222258" w:rsidRDefault="0003679E" w:rsidP="00E7420D">
      <w:pPr>
        <w:pStyle w:val="Rubrik"/>
      </w:pPr>
    </w:p>
    <w:sectPr w:rsidR="0003679E" w:rsidRPr="00222258" w:rsidSect="006A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72" w:rsidRDefault="006A2572" w:rsidP="00A87A54">
      <w:pPr>
        <w:spacing w:line="240" w:lineRule="auto"/>
      </w:pPr>
      <w:r>
        <w:separator/>
      </w:r>
    </w:p>
  </w:endnote>
  <w:endnote w:type="continuationSeparator" w:id="0">
    <w:p w:rsidR="006A2572" w:rsidRDefault="006A2572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DA" w:rsidRDefault="00C163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742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742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72" w:rsidRDefault="006A2572" w:rsidP="00A87A54">
      <w:pPr>
        <w:spacing w:line="240" w:lineRule="auto"/>
      </w:pPr>
      <w:r>
        <w:separator/>
      </w:r>
    </w:p>
  </w:footnote>
  <w:footnote w:type="continuationSeparator" w:id="0">
    <w:p w:rsidR="006A2572" w:rsidRDefault="006A2572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DA" w:rsidRDefault="00C163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DA" w:rsidRDefault="00C163D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2572" w:rsidTr="00C93EBA">
      <w:trPr>
        <w:trHeight w:val="227"/>
      </w:trPr>
      <w:tc>
        <w:tcPr>
          <w:tcW w:w="5534" w:type="dxa"/>
        </w:tcPr>
        <w:p w:rsidR="006A2572" w:rsidRPr="007D73AB" w:rsidRDefault="006A2572">
          <w:pPr>
            <w:pStyle w:val="Sidhuvud"/>
          </w:pPr>
        </w:p>
      </w:tc>
      <w:tc>
        <w:tcPr>
          <w:tcW w:w="3170" w:type="dxa"/>
          <w:vAlign w:val="bottom"/>
        </w:tcPr>
        <w:p w:rsidR="006A2572" w:rsidRPr="007D73AB" w:rsidRDefault="006A2572" w:rsidP="00340DE0">
          <w:pPr>
            <w:pStyle w:val="Sidhuvud"/>
          </w:pPr>
        </w:p>
      </w:tc>
      <w:tc>
        <w:tcPr>
          <w:tcW w:w="1134" w:type="dxa"/>
        </w:tcPr>
        <w:p w:rsidR="006A2572" w:rsidRDefault="006A2572" w:rsidP="005A703A">
          <w:pPr>
            <w:pStyle w:val="Sidhuvud"/>
          </w:pPr>
        </w:p>
      </w:tc>
    </w:tr>
    <w:tr w:rsidR="006A2572" w:rsidTr="00C93EBA">
      <w:trPr>
        <w:trHeight w:val="1928"/>
      </w:trPr>
      <w:tc>
        <w:tcPr>
          <w:tcW w:w="5534" w:type="dxa"/>
        </w:tcPr>
        <w:p w:rsidR="006A2572" w:rsidRPr="00340DE0" w:rsidRDefault="006A2572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190C3797" wp14:editId="04BD533B">
                <wp:extent cx="1252731" cy="493777"/>
                <wp:effectExtent l="0" t="0" r="5080" b="1905"/>
                <wp:docPr id="4" name="Bildobjekt 4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480696052"/>
            <w:placeholder>
              <w:docPart w:val="0A9CA40B559D487BBA4A70DAB03B3602"/>
            </w:placeholder>
            <w:dataBinding w:prefixMappings="xmlns:ns0='http://lp/documentinfo/RK' " w:xpath="/ns0:DocumentInfo[1]/ns0:BaseInfo[1]/ns0:DocTypeShowName[1]" w:storeItemID="{87EC7B6D-FC51-42DB-A28C-C4F25770798A}"/>
            <w:text/>
          </w:sdtPr>
          <w:sdtEndPr/>
          <w:sdtContent>
            <w:p w:rsidR="006A2572" w:rsidRPr="00710A6C" w:rsidRDefault="006A2572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Bilaga 1 till Statens fastigh</w:t>
              </w:r>
              <w:r w:rsidR="00C163DA">
                <w:rPr>
                  <w:b/>
                </w:rPr>
                <w:t xml:space="preserve">etsverks regleringsbrev för </w:t>
              </w:r>
              <w:r w:rsidR="00C163DA">
                <w:rPr>
                  <w:b/>
                </w:rPr>
                <w:t>2018</w:t>
              </w:r>
            </w:p>
          </w:sdtContent>
        </w:sdt>
        <w:p w:rsidR="006A2572" w:rsidRDefault="006A2572" w:rsidP="00EE3C0F">
          <w:pPr>
            <w:pStyle w:val="Sidhuvud"/>
          </w:pPr>
        </w:p>
        <w:p w:rsidR="006A2572" w:rsidRDefault="006A2572" w:rsidP="00EE3C0F">
          <w:pPr>
            <w:pStyle w:val="Sidhuvud"/>
          </w:pPr>
        </w:p>
        <w:sdt>
          <w:sdtPr>
            <w:alias w:val="HeaderDate"/>
            <w:tag w:val="ccRKShow_HeaderDate"/>
            <w:id w:val="61612273"/>
            <w:placeholder>
              <w:docPart w:val="CF9AD4D40A3A40899C8F2B63B296E3B6"/>
            </w:placeholder>
            <w:dataBinding w:prefixMappings="xmlns:ns0='http://lp/documentinfo/RK' " w:xpath="/ns0:DocumentInfo[1]/ns0:BaseInfo[1]/ns0:HeaderDate[1]" w:storeItemID="{87EC7B6D-FC51-42DB-A28C-C4F25770798A}"/>
            <w:date w:fullDate="2017-12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6A2572" w:rsidRDefault="00E7420D" w:rsidP="00EE3C0F">
              <w:pPr>
                <w:pStyle w:val="Sidhuvud"/>
              </w:pPr>
              <w:r>
                <w:t>2017-12-18</w:t>
              </w:r>
            </w:p>
          </w:sdtContent>
        </w:sdt>
        <w:sdt>
          <w:sdtPr>
            <w:alias w:val="Dnr"/>
            <w:tag w:val="ccRKShow_Dnr"/>
            <w:id w:val="106086259"/>
            <w:placeholder>
              <w:docPart w:val="8ECBAA7F00DA42B9B02F7F72782473E3"/>
            </w:placeholder>
            <w:showingPlcHdr/>
            <w:dataBinding w:prefixMappings="xmlns:ns0='http://lp/documentinfo/RK' " w:xpath="/ns0:DocumentInfo[1]/ns0:BaseInfo[1]/ns0:Dnr[1]" w:storeItemID="{87EC7B6D-FC51-42DB-A28C-C4F25770798A}"/>
            <w:text/>
          </w:sdtPr>
          <w:sdtEndPr/>
          <w:sdtContent>
            <w:p w:rsidR="006A2572" w:rsidRDefault="006A25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295874420"/>
            <w:placeholder>
              <w:docPart w:val="48727D83E8474AF5BA787A20AE11D7B2"/>
            </w:placeholder>
            <w:showingPlcHdr/>
            <w:dataBinding w:prefixMappings="xmlns:ns0='http://lp/documentinfo/RK' " w:xpath="/ns0:DocumentInfo[1]/ns0:BaseInfo[1]/ns0:DocNumber[1]" w:storeItemID="{87EC7B6D-FC51-42DB-A28C-C4F25770798A}"/>
            <w:text/>
          </w:sdtPr>
          <w:sdtEndPr/>
          <w:sdtContent>
            <w:p w:rsidR="006A2572" w:rsidRDefault="006A25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A2572" w:rsidRDefault="006A2572" w:rsidP="00EE3C0F">
          <w:pPr>
            <w:pStyle w:val="Sidhuvud"/>
          </w:pPr>
        </w:p>
      </w:tc>
      <w:tc>
        <w:tcPr>
          <w:tcW w:w="1134" w:type="dxa"/>
        </w:tcPr>
        <w:p w:rsidR="006A2572" w:rsidRPr="0094502D" w:rsidRDefault="006A2572" w:rsidP="0094502D">
          <w:pPr>
            <w:pStyle w:val="Sidhuvud"/>
          </w:pPr>
        </w:p>
      </w:tc>
    </w:tr>
    <w:tr w:rsidR="006A257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0876643"/>
          <w:placeholder>
            <w:docPart w:val="BE3F603B80F7457FBB3A494D73D4DB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2572" w:rsidRPr="006A2572" w:rsidRDefault="006A2572" w:rsidP="00340DE0">
              <w:pPr>
                <w:pStyle w:val="Sidhuvud"/>
                <w:rPr>
                  <w:b/>
                </w:rPr>
              </w:pPr>
              <w:r w:rsidRPr="006A2572">
                <w:rPr>
                  <w:b/>
                </w:rPr>
                <w:t>Finansdepartementet</w:t>
              </w:r>
            </w:p>
            <w:p w:rsidR="006A2572" w:rsidRPr="00340DE0" w:rsidRDefault="006A25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2012864603"/>
          <w:placeholder>
            <w:docPart w:val="C4FB2FA93DF845C98242896B8050304C"/>
          </w:placeholder>
          <w:showingPlcHdr/>
          <w:dataBinding w:prefixMappings="xmlns:ns0='http://lp/documentinfo/RK' " w:xpath="/ns0:DocumentInfo[1]/ns0:BaseInfo[1]/ns0:Recipient[1]" w:storeItemID="{87EC7B6D-FC51-42DB-A28C-C4F25770798A}"/>
          <w:text w:multiLine="1"/>
        </w:sdtPr>
        <w:sdtEndPr/>
        <w:sdtContent>
          <w:tc>
            <w:tcPr>
              <w:tcW w:w="3170" w:type="dxa"/>
            </w:tcPr>
            <w:p w:rsidR="006A2572" w:rsidRDefault="006A2572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6A2572" w:rsidRDefault="006A257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68EEE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3D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625C0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4A8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72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53CAA"/>
    <w:rsid w:val="00057FE0"/>
    <w:rsid w:val="0007033C"/>
    <w:rsid w:val="000757FC"/>
    <w:rsid w:val="000862E0"/>
    <w:rsid w:val="00093408"/>
    <w:rsid w:val="0009435C"/>
    <w:rsid w:val="000C61D1"/>
    <w:rsid w:val="000E12D9"/>
    <w:rsid w:val="000F00B8"/>
    <w:rsid w:val="00121002"/>
    <w:rsid w:val="001277F2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E4D3F"/>
    <w:rsid w:val="002F1AF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5163"/>
    <w:rsid w:val="0042068E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B442C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A2572"/>
    <w:rsid w:val="006B4A30"/>
    <w:rsid w:val="006B7569"/>
    <w:rsid w:val="006C28EE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C44FF"/>
    <w:rsid w:val="007C7BDB"/>
    <w:rsid w:val="007D73AB"/>
    <w:rsid w:val="007E2712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3270B"/>
    <w:rsid w:val="00A379E4"/>
    <w:rsid w:val="00A43B02"/>
    <w:rsid w:val="00A46B85"/>
    <w:rsid w:val="00A50585"/>
    <w:rsid w:val="00A506F1"/>
    <w:rsid w:val="00A5156E"/>
    <w:rsid w:val="00A56824"/>
    <w:rsid w:val="00A67276"/>
    <w:rsid w:val="00A67840"/>
    <w:rsid w:val="00A71A9E"/>
    <w:rsid w:val="00A743AC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7B7F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D0826"/>
    <w:rsid w:val="00BD15AB"/>
    <w:rsid w:val="00BE3210"/>
    <w:rsid w:val="00BF4F06"/>
    <w:rsid w:val="00BF534E"/>
    <w:rsid w:val="00C141C6"/>
    <w:rsid w:val="00C163DA"/>
    <w:rsid w:val="00C2071A"/>
    <w:rsid w:val="00C20ACB"/>
    <w:rsid w:val="00C25CDE"/>
    <w:rsid w:val="00C26068"/>
    <w:rsid w:val="00C271A8"/>
    <w:rsid w:val="00C37A77"/>
    <w:rsid w:val="00C461E6"/>
    <w:rsid w:val="00C63EC4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B714B"/>
    <w:rsid w:val="00DD0722"/>
    <w:rsid w:val="00DF5BFB"/>
    <w:rsid w:val="00E124DC"/>
    <w:rsid w:val="00E406DF"/>
    <w:rsid w:val="00E469E4"/>
    <w:rsid w:val="00E475C3"/>
    <w:rsid w:val="00E509B0"/>
    <w:rsid w:val="00E7420D"/>
    <w:rsid w:val="00EA1688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6093"/>
    <w:rsid w:val="00F70848"/>
    <w:rsid w:val="00F834AA"/>
    <w:rsid w:val="00F848D6"/>
    <w:rsid w:val="00F943C8"/>
    <w:rsid w:val="00F96B28"/>
    <w:rsid w:val="00FA41B4"/>
    <w:rsid w:val="00FA5DDD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F653DD"/>
  <w15:docId w15:val="{659C5769-5351-4E4E-A128-8D4D62CC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E7420D"/>
    <w:pPr>
      <w:spacing w:after="0" w:line="260" w:lineRule="exact"/>
      <w:jc w:val="both"/>
    </w:pPr>
    <w:rPr>
      <w:rFonts w:ascii="OrigGarmnd BT" w:hAnsi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 w:line="276" w:lineRule="auto"/>
      <w:jc w:val="left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 w:line="276" w:lineRule="auto"/>
      <w:jc w:val="left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A2572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A2572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5"/>
      <w:szCs w:val="25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A2572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A2572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  <w:ind w:left="284"/>
      <w:jc w:val="left"/>
    </w:pPr>
    <w:rPr>
      <w:rFonts w:asciiTheme="minorHAnsi" w:hAnsiTheme="minorHAns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 w:line="276" w:lineRule="auto"/>
      <w:contextualSpacing/>
      <w:jc w:val="left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line="276" w:lineRule="auto"/>
      <w:jc w:val="left"/>
    </w:pPr>
    <w:rPr>
      <w:rFonts w:asciiTheme="minorHAnsi" w:hAnsiTheme="minorHAns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line="276" w:lineRule="auto"/>
      <w:jc w:val="left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line="276" w:lineRule="auto"/>
      <w:jc w:val="left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  <w:jc w:val="left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line="240" w:lineRule="auto"/>
      <w:ind w:left="284"/>
      <w:jc w:val="left"/>
    </w:pPr>
    <w:rPr>
      <w:rFonts w:asciiTheme="minorHAnsi" w:hAnsiTheme="minorHAnsi"/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 w:line="276" w:lineRule="auto"/>
      <w:jc w:val="left"/>
    </w:pPr>
    <w:rPr>
      <w:rFonts w:asciiTheme="minorHAnsi" w:hAnsiTheme="minorHAnsi"/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 w:line="276" w:lineRule="auto"/>
      <w:ind w:left="850" w:hanging="425"/>
      <w:contextualSpacing/>
      <w:jc w:val="left"/>
    </w:pPr>
    <w:rPr>
      <w:rFonts w:asciiTheme="minorHAnsi" w:hAnsiTheme="minorHAns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pPr>
      <w:spacing w:after="280" w:line="276" w:lineRule="auto"/>
      <w:jc w:val="left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eastAsia="Times New Roman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6A2572"/>
    <w:pPr>
      <w:framePr w:w="7938" w:h="1984" w:hRule="exact" w:hSpace="141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A2572"/>
  </w:style>
  <w:style w:type="paragraph" w:styleId="Avslutandetext">
    <w:name w:val="Closing"/>
    <w:basedOn w:val="Normal"/>
    <w:link w:val="AvslutandetextChar"/>
    <w:uiPriority w:val="99"/>
    <w:semiHidden/>
    <w:unhideWhenUsed/>
    <w:rsid w:val="006A2572"/>
    <w:pPr>
      <w:spacing w:line="240" w:lineRule="auto"/>
      <w:ind w:left="4252"/>
      <w:jc w:val="left"/>
    </w:pPr>
    <w:rPr>
      <w:rFonts w:asciiTheme="minorHAnsi" w:hAnsiTheme="minorHAnsi"/>
      <w:sz w:val="25"/>
      <w:szCs w:val="25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A2572"/>
  </w:style>
  <w:style w:type="paragraph" w:styleId="Avsndaradress-brev">
    <w:name w:val="envelope return"/>
    <w:basedOn w:val="Normal"/>
    <w:uiPriority w:val="99"/>
    <w:semiHidden/>
    <w:unhideWhenUsed/>
    <w:rsid w:val="006A2572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A2572"/>
    <w:pPr>
      <w:spacing w:after="120" w:line="48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A2572"/>
  </w:style>
  <w:style w:type="paragraph" w:styleId="Brdtext3">
    <w:name w:val="Body Text 3"/>
    <w:basedOn w:val="Normal"/>
    <w:link w:val="Brdtext3Char"/>
    <w:uiPriority w:val="99"/>
    <w:semiHidden/>
    <w:unhideWhenUsed/>
    <w:rsid w:val="006A2572"/>
    <w:pPr>
      <w:spacing w:after="120" w:line="276" w:lineRule="auto"/>
      <w:jc w:val="left"/>
    </w:pPr>
    <w:rPr>
      <w:rFonts w:asciiTheme="minorHAnsi" w:hAnsiTheme="minorHAns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A257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A257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A257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A257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A257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A2572"/>
    <w:pPr>
      <w:spacing w:after="120" w:line="480" w:lineRule="auto"/>
      <w:ind w:left="283"/>
      <w:jc w:val="left"/>
    </w:pPr>
    <w:rPr>
      <w:rFonts w:asciiTheme="minorHAnsi" w:hAnsiTheme="minorHAnsi"/>
      <w:sz w:val="25"/>
      <w:szCs w:val="25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A257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A2572"/>
    <w:pPr>
      <w:spacing w:after="120" w:line="276" w:lineRule="auto"/>
      <w:ind w:left="283"/>
      <w:jc w:val="left"/>
    </w:pPr>
    <w:rPr>
      <w:rFonts w:asciiTheme="minorHAnsi" w:hAnsiTheme="minorHAns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A257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A2572"/>
    <w:pPr>
      <w:spacing w:after="280" w:line="276" w:lineRule="auto"/>
      <w:jc w:val="left"/>
    </w:pPr>
    <w:rPr>
      <w:rFonts w:asciiTheme="minorHAnsi" w:hAnsiTheme="minorHAnsi"/>
      <w:i/>
      <w:iCs/>
      <w:color w:val="000000" w:themeColor="text1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A257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A2572"/>
    <w:pPr>
      <w:spacing w:line="276" w:lineRule="auto"/>
      <w:ind w:left="250" w:hanging="250"/>
      <w:jc w:val="left"/>
    </w:pPr>
    <w:rPr>
      <w:rFonts w:asciiTheme="minorHAnsi" w:hAnsiTheme="minorHAnsi"/>
      <w:sz w:val="25"/>
      <w:szCs w:val="25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6A2572"/>
    <w:pPr>
      <w:spacing w:before="120" w:after="280" w:line="276" w:lineRule="auto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6A257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A257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A257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A2572"/>
  </w:style>
  <w:style w:type="paragraph" w:styleId="Figurfrteckning">
    <w:name w:val="table of figures"/>
    <w:basedOn w:val="Normal"/>
    <w:next w:val="Normal"/>
    <w:uiPriority w:val="99"/>
    <w:semiHidden/>
    <w:unhideWhenUsed/>
    <w:rsid w:val="006A2572"/>
    <w:pPr>
      <w:spacing w:line="276" w:lineRule="auto"/>
      <w:jc w:val="left"/>
    </w:pPr>
    <w:rPr>
      <w:rFonts w:asciiTheme="minorHAnsi" w:hAnsiTheme="minorHAnsi"/>
      <w:sz w:val="25"/>
      <w:szCs w:val="25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i/>
      <w:iCs/>
      <w:sz w:val="25"/>
      <w:szCs w:val="25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A257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A2572"/>
    <w:pPr>
      <w:spacing w:line="240" w:lineRule="auto"/>
      <w:jc w:val="left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A2572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2572"/>
    <w:pPr>
      <w:spacing w:line="240" w:lineRule="auto"/>
      <w:ind w:left="250" w:hanging="250"/>
      <w:jc w:val="left"/>
    </w:pPr>
    <w:rPr>
      <w:rFonts w:asciiTheme="minorHAnsi" w:hAnsiTheme="minorHAnsi"/>
      <w:sz w:val="25"/>
      <w:szCs w:val="2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A2572"/>
    <w:pPr>
      <w:spacing w:line="240" w:lineRule="auto"/>
      <w:ind w:left="500" w:hanging="250"/>
      <w:jc w:val="left"/>
    </w:pPr>
    <w:rPr>
      <w:rFonts w:asciiTheme="minorHAnsi" w:hAnsiTheme="minorHAnsi"/>
      <w:sz w:val="25"/>
      <w:szCs w:val="2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A2572"/>
    <w:pPr>
      <w:spacing w:line="240" w:lineRule="auto"/>
      <w:ind w:left="750" w:hanging="250"/>
      <w:jc w:val="left"/>
    </w:pPr>
    <w:rPr>
      <w:rFonts w:asciiTheme="minorHAnsi" w:hAnsiTheme="minorHAnsi"/>
      <w:sz w:val="25"/>
      <w:szCs w:val="2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A2572"/>
    <w:pPr>
      <w:spacing w:line="240" w:lineRule="auto"/>
      <w:ind w:left="1000" w:hanging="250"/>
      <w:jc w:val="left"/>
    </w:pPr>
    <w:rPr>
      <w:rFonts w:asciiTheme="minorHAnsi" w:hAnsiTheme="minorHAnsi"/>
      <w:sz w:val="25"/>
      <w:szCs w:val="2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A2572"/>
    <w:pPr>
      <w:spacing w:line="240" w:lineRule="auto"/>
      <w:ind w:left="1250" w:hanging="250"/>
      <w:jc w:val="left"/>
    </w:pPr>
    <w:rPr>
      <w:rFonts w:asciiTheme="minorHAnsi" w:hAnsiTheme="minorHAnsi"/>
      <w:sz w:val="25"/>
      <w:szCs w:val="2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A2572"/>
    <w:pPr>
      <w:spacing w:line="240" w:lineRule="auto"/>
      <w:ind w:left="1500" w:hanging="250"/>
      <w:jc w:val="left"/>
    </w:pPr>
    <w:rPr>
      <w:rFonts w:asciiTheme="minorHAnsi" w:hAnsiTheme="minorHAnsi"/>
      <w:sz w:val="25"/>
      <w:szCs w:val="2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A2572"/>
    <w:pPr>
      <w:spacing w:line="240" w:lineRule="auto"/>
      <w:ind w:left="1750" w:hanging="250"/>
      <w:jc w:val="left"/>
    </w:pPr>
    <w:rPr>
      <w:rFonts w:asciiTheme="minorHAnsi" w:hAnsiTheme="minorHAnsi"/>
      <w:sz w:val="25"/>
      <w:szCs w:val="2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A2572"/>
    <w:pPr>
      <w:spacing w:line="240" w:lineRule="auto"/>
      <w:ind w:left="2000" w:hanging="250"/>
      <w:jc w:val="left"/>
    </w:pPr>
    <w:rPr>
      <w:rFonts w:asciiTheme="minorHAnsi" w:hAnsiTheme="minorHAnsi"/>
      <w:sz w:val="25"/>
      <w:szCs w:val="2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A2572"/>
    <w:pPr>
      <w:spacing w:line="240" w:lineRule="auto"/>
      <w:ind w:left="2250" w:hanging="250"/>
      <w:jc w:val="left"/>
    </w:pPr>
    <w:rPr>
      <w:rFonts w:asciiTheme="minorHAnsi" w:hAnsiTheme="minorHAnsi"/>
      <w:sz w:val="25"/>
      <w:szCs w:val="25"/>
    </w:rPr>
  </w:style>
  <w:style w:type="paragraph" w:styleId="Indexrubrik">
    <w:name w:val="index heading"/>
    <w:basedOn w:val="Normal"/>
    <w:next w:val="Index1"/>
    <w:uiPriority w:val="99"/>
    <w:semiHidden/>
    <w:unhideWhenUsed/>
    <w:rsid w:val="006A2572"/>
    <w:pPr>
      <w:spacing w:after="280" w:line="276" w:lineRule="auto"/>
      <w:jc w:val="left"/>
    </w:pPr>
    <w:rPr>
      <w:rFonts w:asciiTheme="majorHAnsi" w:eastAsiaTheme="majorEastAsia" w:hAnsiTheme="majorHAnsi" w:cstheme="majorBidi"/>
      <w:b/>
      <w:bCs/>
      <w:sz w:val="25"/>
      <w:szCs w:val="25"/>
    </w:rPr>
  </w:style>
  <w:style w:type="paragraph" w:styleId="Indragetstycke">
    <w:name w:val="Block Text"/>
    <w:basedOn w:val="Normal"/>
    <w:uiPriority w:val="99"/>
    <w:semiHidden/>
    <w:unhideWhenUsed/>
    <w:rsid w:val="006A2572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spacing w:after="280" w:line="276" w:lineRule="auto"/>
      <w:ind w:left="1152" w:right="1152"/>
      <w:jc w:val="left"/>
    </w:pPr>
    <w:rPr>
      <w:rFonts w:asciiTheme="minorHAnsi" w:eastAsiaTheme="minorEastAsia" w:hAnsiTheme="minorHAnsi"/>
      <w:i/>
      <w:iCs/>
      <w:color w:val="1A3050" w:themeColor="accent1"/>
      <w:sz w:val="25"/>
      <w:szCs w:val="25"/>
    </w:rPr>
  </w:style>
  <w:style w:type="paragraph" w:styleId="Ingetavstnd">
    <w:name w:val="No Spacing"/>
    <w:uiPriority w:val="1"/>
    <w:semiHidden/>
    <w:qFormat/>
    <w:rsid w:val="006A257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A2572"/>
  </w:style>
  <w:style w:type="paragraph" w:styleId="Innehll4">
    <w:name w:val="toc 4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750"/>
      <w:jc w:val="left"/>
    </w:pPr>
    <w:rPr>
      <w:rFonts w:asciiTheme="minorHAnsi" w:hAnsiTheme="minorHAnsi"/>
      <w:sz w:val="25"/>
      <w:szCs w:val="25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000"/>
      <w:jc w:val="left"/>
    </w:pPr>
    <w:rPr>
      <w:rFonts w:asciiTheme="minorHAnsi" w:hAnsiTheme="minorHAnsi"/>
      <w:sz w:val="25"/>
      <w:szCs w:val="25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250"/>
      <w:jc w:val="left"/>
    </w:pPr>
    <w:rPr>
      <w:rFonts w:asciiTheme="minorHAnsi" w:hAnsiTheme="minorHAnsi"/>
      <w:sz w:val="25"/>
      <w:szCs w:val="25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500"/>
      <w:jc w:val="left"/>
    </w:pPr>
    <w:rPr>
      <w:rFonts w:asciiTheme="minorHAnsi" w:hAnsiTheme="minorHAnsi"/>
      <w:sz w:val="25"/>
      <w:szCs w:val="25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750"/>
      <w:jc w:val="left"/>
    </w:pPr>
    <w:rPr>
      <w:rFonts w:asciiTheme="minorHAnsi" w:hAnsiTheme="minorHAnsi"/>
      <w:sz w:val="25"/>
      <w:szCs w:val="25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2000"/>
      <w:jc w:val="left"/>
    </w:pPr>
    <w:rPr>
      <w:rFonts w:asciiTheme="minorHAnsi" w:hAnsiTheme="minorHAnsi"/>
      <w:sz w:val="25"/>
      <w:szCs w:val="25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2572"/>
    <w:pPr>
      <w:spacing w:after="28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257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5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57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A2572"/>
    <w:pPr>
      <w:spacing w:after="280" w:line="276" w:lineRule="auto"/>
      <w:ind w:left="283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2">
    <w:name w:val="List 2"/>
    <w:basedOn w:val="Normal"/>
    <w:uiPriority w:val="99"/>
    <w:semiHidden/>
    <w:unhideWhenUsed/>
    <w:rsid w:val="006A2572"/>
    <w:pPr>
      <w:spacing w:after="280" w:line="276" w:lineRule="auto"/>
      <w:ind w:left="566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3">
    <w:name w:val="List 3"/>
    <w:basedOn w:val="Normal"/>
    <w:uiPriority w:val="99"/>
    <w:semiHidden/>
    <w:unhideWhenUsed/>
    <w:rsid w:val="006A2572"/>
    <w:pPr>
      <w:spacing w:after="280" w:line="276" w:lineRule="auto"/>
      <w:ind w:left="849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4">
    <w:name w:val="List 4"/>
    <w:basedOn w:val="Normal"/>
    <w:uiPriority w:val="99"/>
    <w:semiHidden/>
    <w:unhideWhenUsed/>
    <w:rsid w:val="006A2572"/>
    <w:pPr>
      <w:spacing w:after="280" w:line="276" w:lineRule="auto"/>
      <w:ind w:left="1132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5">
    <w:name w:val="List 5"/>
    <w:basedOn w:val="Normal"/>
    <w:uiPriority w:val="99"/>
    <w:semiHidden/>
    <w:unhideWhenUsed/>
    <w:rsid w:val="006A2572"/>
    <w:pPr>
      <w:spacing w:after="280" w:line="276" w:lineRule="auto"/>
      <w:ind w:left="1415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">
    <w:name w:val="List Continue"/>
    <w:basedOn w:val="Normal"/>
    <w:uiPriority w:val="99"/>
    <w:semiHidden/>
    <w:unhideWhenUsed/>
    <w:rsid w:val="006A2572"/>
    <w:pPr>
      <w:spacing w:after="120" w:line="276" w:lineRule="auto"/>
      <w:ind w:left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2">
    <w:name w:val="List Continue 2"/>
    <w:basedOn w:val="Normal"/>
    <w:uiPriority w:val="99"/>
    <w:semiHidden/>
    <w:unhideWhenUsed/>
    <w:rsid w:val="006A2572"/>
    <w:pPr>
      <w:spacing w:after="120" w:line="276" w:lineRule="auto"/>
      <w:ind w:left="566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3">
    <w:name w:val="List Continue 3"/>
    <w:basedOn w:val="Normal"/>
    <w:uiPriority w:val="99"/>
    <w:semiHidden/>
    <w:unhideWhenUsed/>
    <w:rsid w:val="006A2572"/>
    <w:pPr>
      <w:spacing w:after="120" w:line="276" w:lineRule="auto"/>
      <w:ind w:left="849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4">
    <w:name w:val="List Continue 4"/>
    <w:basedOn w:val="Normal"/>
    <w:uiPriority w:val="99"/>
    <w:semiHidden/>
    <w:unhideWhenUsed/>
    <w:rsid w:val="006A2572"/>
    <w:pPr>
      <w:spacing w:after="120" w:line="276" w:lineRule="auto"/>
      <w:ind w:left="1132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5">
    <w:name w:val="List Continue 5"/>
    <w:basedOn w:val="Normal"/>
    <w:uiPriority w:val="99"/>
    <w:semiHidden/>
    <w:unhideWhenUsed/>
    <w:rsid w:val="006A2572"/>
    <w:pPr>
      <w:spacing w:after="120" w:line="276" w:lineRule="auto"/>
      <w:ind w:left="1415"/>
      <w:contextualSpacing/>
      <w:jc w:val="left"/>
    </w:pPr>
    <w:rPr>
      <w:rFonts w:asciiTheme="minorHAnsi" w:hAnsiTheme="minorHAnsi"/>
      <w:sz w:val="25"/>
      <w:szCs w:val="25"/>
    </w:rPr>
  </w:style>
  <w:style w:type="paragraph" w:styleId="Liststycke">
    <w:name w:val="List Paragraph"/>
    <w:basedOn w:val="Normal"/>
    <w:uiPriority w:val="34"/>
    <w:semiHidden/>
    <w:qFormat/>
    <w:rsid w:val="006A2572"/>
    <w:pPr>
      <w:spacing w:after="280" w:line="276" w:lineRule="auto"/>
      <w:ind w:left="720"/>
      <w:contextualSpacing/>
      <w:jc w:val="left"/>
    </w:pPr>
    <w:rPr>
      <w:rFonts w:asciiTheme="minorHAnsi" w:hAnsiTheme="minorHAnsi"/>
      <w:sz w:val="25"/>
      <w:szCs w:val="25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paragraph" w:styleId="Makrotext">
    <w:name w:val="macro"/>
    <w:link w:val="MakrotextChar"/>
    <w:uiPriority w:val="99"/>
    <w:semiHidden/>
    <w:unhideWhenUsed/>
    <w:rsid w:val="006A25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A2572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A25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A25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A2572"/>
    <w:pPr>
      <w:spacing w:after="280" w:line="276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A2572"/>
    <w:pPr>
      <w:spacing w:after="280" w:line="276" w:lineRule="auto"/>
      <w:ind w:left="1304"/>
      <w:jc w:val="left"/>
    </w:pPr>
    <w:rPr>
      <w:rFonts w:asciiTheme="minorHAnsi" w:hAnsiTheme="minorHAnsi"/>
      <w:sz w:val="25"/>
      <w:szCs w:val="25"/>
    </w:rPr>
  </w:style>
  <w:style w:type="paragraph" w:styleId="Numreradlista4">
    <w:name w:val="List Number 4"/>
    <w:basedOn w:val="Normal"/>
    <w:uiPriority w:val="99"/>
    <w:semiHidden/>
    <w:unhideWhenUsed/>
    <w:rsid w:val="006A2572"/>
    <w:pPr>
      <w:numPr>
        <w:numId w:val="38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Numreradlista5">
    <w:name w:val="List Number 5"/>
    <w:basedOn w:val="Normal"/>
    <w:uiPriority w:val="99"/>
    <w:semiHidden/>
    <w:unhideWhenUsed/>
    <w:rsid w:val="006A2572"/>
    <w:pPr>
      <w:numPr>
        <w:numId w:val="39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A2572"/>
    <w:pPr>
      <w:spacing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A2572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6A2572"/>
    <w:pPr>
      <w:numPr>
        <w:numId w:val="40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5">
    <w:name w:val="List Bullet 5"/>
    <w:basedOn w:val="Normal"/>
    <w:uiPriority w:val="99"/>
    <w:semiHidden/>
    <w:unhideWhenUsed/>
    <w:rsid w:val="006A2572"/>
    <w:pPr>
      <w:numPr>
        <w:numId w:val="41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257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2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25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2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6A2572"/>
    <w:pPr>
      <w:spacing w:line="240" w:lineRule="auto"/>
      <w:ind w:left="4252"/>
      <w:jc w:val="left"/>
    </w:pPr>
    <w:rPr>
      <w:rFonts w:asciiTheme="minorHAnsi" w:hAnsiTheme="minorHAnsi"/>
      <w:sz w:val="25"/>
      <w:szCs w:val="25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A2572"/>
  </w:style>
  <w:style w:type="paragraph" w:styleId="Slutnotstext">
    <w:name w:val="endnote text"/>
    <w:basedOn w:val="Normal"/>
    <w:link w:val="Slutnotstext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A257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A2572"/>
    <w:pPr>
      <w:pBdr>
        <w:bottom w:val="single" w:sz="4" w:space="4" w:color="1A3050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1A3050" w:themeColor="accent1"/>
      <w:sz w:val="25"/>
      <w:szCs w:val="25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A257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A2572"/>
    <w:pPr>
      <w:numPr>
        <w:ilvl w:val="1"/>
      </w:numPr>
      <w:spacing w:after="280" w:line="276" w:lineRule="auto"/>
      <w:jc w:val="left"/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A257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6A2572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TabellHuvud">
    <w:name w:val="Tabell Huvud"/>
    <w:basedOn w:val="Normal"/>
    <w:link w:val="TabellHuvudChar"/>
    <w:rsid w:val="00E7420D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E7420D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E7420D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Underrubrik">
    <w:name w:val="Tabell Underrubrik"/>
    <w:basedOn w:val="TabellRubrik"/>
    <w:next w:val="Brdtext"/>
    <w:link w:val="TabellUnderrubrikChar"/>
    <w:rsid w:val="00E7420D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E7420D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rsid w:val="00E7420D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rsid w:val="00E7420D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E7420D"/>
    <w:rPr>
      <w:rFonts w:ascii="TradeGothic CondEighteen" w:eastAsia="Times New Roman" w:hAnsi="TradeGothic CondEighteen" w:cs="Times New Roman"/>
      <w:spacing w:val="4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9CA40B559D487BBA4A70DAB03B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16072-6768-4F8C-8079-3756D2C5D3C9}"/>
      </w:docPartPr>
      <w:docPartBody>
        <w:p w:rsidR="00AE5BE7" w:rsidRDefault="00817853" w:rsidP="00817853">
          <w:pPr>
            <w:pStyle w:val="0A9CA40B559D487BBA4A70DAB03B360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CF9AD4D40A3A40899C8F2B63B296E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64CBF-E8E2-40DA-AF6C-18CD58387300}"/>
      </w:docPartPr>
      <w:docPartBody>
        <w:p w:rsidR="00AE5BE7" w:rsidRDefault="00817853" w:rsidP="00817853">
          <w:pPr>
            <w:pStyle w:val="CF9AD4D40A3A40899C8F2B63B296E3B6"/>
          </w:pPr>
          <w:r>
            <w:t xml:space="preserve"> </w:t>
          </w:r>
        </w:p>
      </w:docPartBody>
    </w:docPart>
    <w:docPart>
      <w:docPartPr>
        <w:name w:val="8ECBAA7F00DA42B9B02F7F7278247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41AC2-5E11-403C-ACEC-596829A338B9}"/>
      </w:docPartPr>
      <w:docPartBody>
        <w:p w:rsidR="00AE5BE7" w:rsidRDefault="00817853" w:rsidP="00817853">
          <w:pPr>
            <w:pStyle w:val="8ECBAA7F00DA42B9B02F7F7278247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27D83E8474AF5BA787A20AE11D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44F1F-C5E8-400D-8D3F-2A565D6DFA44}"/>
      </w:docPartPr>
      <w:docPartBody>
        <w:p w:rsidR="00AE5BE7" w:rsidRDefault="00817853" w:rsidP="00817853">
          <w:pPr>
            <w:pStyle w:val="48727D83E8474AF5BA787A20AE11D7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3F603B80F7457FBB3A494D73D4D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BF51B-603E-4926-B8F1-564E9AEBEA19}"/>
      </w:docPartPr>
      <w:docPartBody>
        <w:p w:rsidR="00AE5BE7" w:rsidRDefault="00817853" w:rsidP="00817853">
          <w:pPr>
            <w:pStyle w:val="BE3F603B80F7457FBB3A494D73D4D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B2FA93DF845C98242896B80503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FF2B4-9639-45C3-AC38-40B7CA7A81F4}"/>
      </w:docPartPr>
      <w:docPartBody>
        <w:p w:rsidR="00AE5BE7" w:rsidRDefault="00817853" w:rsidP="00817853">
          <w:pPr>
            <w:pStyle w:val="C4FB2FA93DF845C98242896B805030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3"/>
    <w:rsid w:val="00817853"/>
    <w:rsid w:val="00A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7853"/>
    <w:rPr>
      <w:color w:val="808080"/>
    </w:rPr>
  </w:style>
  <w:style w:type="paragraph" w:customStyle="1" w:styleId="834F627C54BD4CB0BA55CF864172550B">
    <w:name w:val="834F627C54BD4CB0BA55CF864172550B"/>
    <w:rsid w:val="00817853"/>
  </w:style>
  <w:style w:type="paragraph" w:customStyle="1" w:styleId="0A9CA40B559D487BBA4A70DAB03B3602">
    <w:name w:val="0A9CA40B559D487BBA4A70DAB03B3602"/>
    <w:rsid w:val="00817853"/>
  </w:style>
  <w:style w:type="paragraph" w:customStyle="1" w:styleId="72664C13443744259860AA98244AEE66">
    <w:name w:val="72664C13443744259860AA98244AEE66"/>
    <w:rsid w:val="00817853"/>
  </w:style>
  <w:style w:type="paragraph" w:customStyle="1" w:styleId="64688FCAB2504D13ACA5695E7982EA9A">
    <w:name w:val="64688FCAB2504D13ACA5695E7982EA9A"/>
    <w:rsid w:val="00817853"/>
  </w:style>
  <w:style w:type="paragraph" w:customStyle="1" w:styleId="CF9AD4D40A3A40899C8F2B63B296E3B6">
    <w:name w:val="CF9AD4D40A3A40899C8F2B63B296E3B6"/>
    <w:rsid w:val="00817853"/>
  </w:style>
  <w:style w:type="paragraph" w:customStyle="1" w:styleId="8ECBAA7F00DA42B9B02F7F72782473E3">
    <w:name w:val="8ECBAA7F00DA42B9B02F7F72782473E3"/>
    <w:rsid w:val="00817853"/>
  </w:style>
  <w:style w:type="paragraph" w:customStyle="1" w:styleId="48727D83E8474AF5BA787A20AE11D7B2">
    <w:name w:val="48727D83E8474AF5BA787A20AE11D7B2"/>
    <w:rsid w:val="00817853"/>
  </w:style>
  <w:style w:type="paragraph" w:customStyle="1" w:styleId="37958821EB934059B4D3DB885BF033AD">
    <w:name w:val="37958821EB934059B4D3DB885BF033AD"/>
    <w:rsid w:val="00817853"/>
  </w:style>
  <w:style w:type="paragraph" w:customStyle="1" w:styleId="B7F9C35DA46A431E8094109CE7B0A5FB">
    <w:name w:val="B7F9C35DA46A431E8094109CE7B0A5FB"/>
    <w:rsid w:val="00817853"/>
  </w:style>
  <w:style w:type="paragraph" w:customStyle="1" w:styleId="BE3F603B80F7457FBB3A494D73D4DB94">
    <w:name w:val="BE3F603B80F7457FBB3A494D73D4DB94"/>
    <w:rsid w:val="00817853"/>
  </w:style>
  <w:style w:type="paragraph" w:customStyle="1" w:styleId="C4FB2FA93DF845C98242896B8050304C">
    <w:name w:val="C4FB2FA93DF845C98242896B8050304C"/>
    <w:rsid w:val="00817853"/>
  </w:style>
  <w:style w:type="paragraph" w:customStyle="1" w:styleId="007F845BDB85447E82BF41A2F9DE3252">
    <w:name w:val="007F845BDB85447E82BF41A2F9DE3252"/>
    <w:rsid w:val="00817853"/>
  </w:style>
  <w:style w:type="paragraph" w:customStyle="1" w:styleId="1ADE17FA1E454CD29BB551D17A079ED5">
    <w:name w:val="1ADE17FA1E454CD29BB551D17A079ED5"/>
    <w:rsid w:val="0081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Bilaga 1 till Statens fastighetsverks regleringsbrev för 2018</DocTypeShowName>
    <Status/>
    <Sender>
      <SenderName>Joakim Jägare</SenderName>
      <SenderTitle/>
      <SenderMail>joakim.jagare@regeringskansliet.se</SenderMail>
      <SenderPhone/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statlig förvaltning</Organisatoriskenhet3>
      <Organisatoriskenhet1Id>194</Organisatoriskenhet1Id>
      <Organisatoriskenhet2Id>385</Organisatoriskenhet2Id>
      <Organisatoriskenhet3Id>389</Organisatoriskenhet3Id>
    </OrganisationInfo>
    <HeaderDate>2017-12-18T00:00:00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R_LOGO_SV_BW.png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7B6D-FC51-42DB-A28C-C4F25770798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8D65A5C-BFAD-4FA7-A914-3F1EFA36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Joakim Jägare</Manager>
  <Company>Regeringskansliet RK IT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Jägare</dc:creator>
  <cp:lastModifiedBy>Joakim Jägare</cp:lastModifiedBy>
  <cp:revision>5</cp:revision>
  <dcterms:created xsi:type="dcterms:W3CDTF">2017-12-01T09:12:00Z</dcterms:created>
  <dcterms:modified xsi:type="dcterms:W3CDTF">2017-12-14T13:03:00Z</dcterms:modified>
</cp:coreProperties>
</file>